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2BCB">
      <w:pPr>
        <w:widowControl/>
        <w:spacing w:beforeLines="0" w:afterLines="0"/>
        <w:ind w:right="-2"/>
        <w:outlineLvl w:val="9"/>
        <w:rPr>
          <w:rFonts w:hint="default"/>
          <w:b/>
          <w:sz w:val="24"/>
          <w:szCs w:val="24"/>
          <w:lang w:val="en-US"/>
        </w:rPr>
      </w:pPr>
      <w:r>
        <w:rPr>
          <w:rFonts w:hint="default"/>
          <w:b/>
          <w:sz w:val="24"/>
          <w:szCs w:val="24"/>
          <w:lang w:val="en-US"/>
        </w:rPr>
        <w:t xml:space="preserve">Title of the Paper </w:t>
      </w:r>
      <w:r>
        <w:rPr>
          <w:rFonts w:hint="default"/>
          <w:b/>
          <w:color w:val="0000FF"/>
          <w:sz w:val="24"/>
          <w:szCs w:val="24"/>
          <w:lang w:val="en-US"/>
        </w:rPr>
        <w:t>(1</w:t>
      </w:r>
      <w:r>
        <w:rPr>
          <w:rFonts w:hint="default"/>
          <w:b/>
          <w:color w:val="0000FF"/>
          <w:sz w:val="24"/>
          <w:szCs w:val="24"/>
          <w:lang w:val="pl-PL"/>
        </w:rPr>
        <w:t xml:space="preserve">2 </w:t>
      </w:r>
      <w:r>
        <w:rPr>
          <w:rFonts w:hint="default"/>
          <w:b/>
          <w:color w:val="0000FF"/>
          <w:sz w:val="24"/>
          <w:szCs w:val="24"/>
          <w:lang w:val="en-US"/>
        </w:rPr>
        <w:t>pt Times New Roman, Bold, Left)</w:t>
      </w:r>
    </w:p>
    <w:p w14:paraId="1E0B4323">
      <w:pPr>
        <w:spacing w:line="360" w:lineRule="auto"/>
        <w:rPr>
          <w:b/>
          <w:bCs/>
          <w:sz w:val="24"/>
          <w:szCs w:val="24"/>
          <w:lang w:val="en-US" w:eastAsia="en-US"/>
        </w:rPr>
      </w:pPr>
    </w:p>
    <w:p w14:paraId="456822D2">
      <w:pPr>
        <w:spacing w:line="360" w:lineRule="auto"/>
        <w:rPr>
          <w:rFonts w:hint="default" w:cs="Arial"/>
          <w:color w:val="auto"/>
          <w:sz w:val="24"/>
          <w:szCs w:val="24"/>
          <w:u w:val="none"/>
          <w:lang w:val="pl-PL"/>
        </w:rPr>
      </w:pPr>
      <w:r>
        <w:rPr>
          <w:rFonts w:hint="default" w:ascii="Times New Roman" w:hAnsi="Times New Roman" w:cs="Times New Roman"/>
          <w:sz w:val="24"/>
          <w:szCs w:val="24"/>
          <w:lang w:val="pl-PL"/>
        </w:rPr>
        <w:t>Author Name Surname</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vertAlign w:val="baseline"/>
        </w:rPr>
        <w:t>,</w:t>
      </w:r>
      <w:r>
        <w:rPr>
          <w:rFonts w:hint="default" w:ascii="Times New Roman" w:hAnsi="Times New Roman" w:cs="Times New Roman"/>
          <w:sz w:val="24"/>
          <w:szCs w:val="24"/>
          <w:vertAlign w:val="baseline"/>
          <w:lang w:val="pl-PL"/>
        </w:rPr>
        <w:t xml:space="preserve"> ORCID </w:t>
      </w:r>
      <w:r>
        <w:rPr>
          <w:rFonts w:cs="Arial"/>
          <w:color w:val="auto"/>
          <w:sz w:val="24"/>
          <w:szCs w:val="24"/>
          <w:u w:val="none"/>
          <w:lang w:val="en-US"/>
        </w:rPr>
        <w:fldChar w:fldCharType="begin"/>
      </w:r>
      <w:r>
        <w:rPr>
          <w:rFonts w:cs="Arial"/>
          <w:color w:val="auto"/>
          <w:sz w:val="24"/>
          <w:szCs w:val="24"/>
          <w:u w:val="none"/>
          <w:lang w:val="en-US"/>
        </w:rPr>
        <w:instrText xml:space="preserve"> HYPERLINK "http://orcid.org/0000-0005-xxxx-xxxx" </w:instrText>
      </w:r>
      <w:r>
        <w:rPr>
          <w:rFonts w:cs="Arial"/>
          <w:color w:val="auto"/>
          <w:sz w:val="24"/>
          <w:szCs w:val="24"/>
          <w:u w:val="none"/>
          <w:lang w:val="en-US"/>
        </w:rPr>
        <w:fldChar w:fldCharType="separate"/>
      </w:r>
      <w:r>
        <w:rPr>
          <w:rStyle w:val="18"/>
          <w:rFonts w:cs="Arial"/>
          <w:sz w:val="24"/>
          <w:szCs w:val="24"/>
          <w:lang w:val="en-US"/>
        </w:rPr>
        <w:t>http</w:t>
      </w:r>
      <w:r>
        <w:rPr>
          <w:rStyle w:val="18"/>
          <w:rFonts w:cs="Arial"/>
          <w:sz w:val="24"/>
          <w:szCs w:val="24"/>
          <w:lang w:val="uk-UA"/>
        </w:rPr>
        <w:t>://</w:t>
      </w:r>
      <w:r>
        <w:rPr>
          <w:rStyle w:val="18"/>
          <w:rFonts w:cs="Arial"/>
          <w:sz w:val="24"/>
          <w:szCs w:val="24"/>
          <w:lang w:val="en-US"/>
        </w:rPr>
        <w:t>orcid</w:t>
      </w:r>
      <w:r>
        <w:rPr>
          <w:rStyle w:val="18"/>
          <w:rFonts w:cs="Arial"/>
          <w:sz w:val="24"/>
          <w:szCs w:val="24"/>
          <w:lang w:val="uk-UA"/>
        </w:rPr>
        <w:t>.</w:t>
      </w:r>
      <w:r>
        <w:rPr>
          <w:rStyle w:val="18"/>
          <w:rFonts w:cs="Arial"/>
          <w:sz w:val="24"/>
          <w:szCs w:val="24"/>
          <w:lang w:val="en-US"/>
        </w:rPr>
        <w:t>org</w:t>
      </w:r>
      <w:r>
        <w:rPr>
          <w:rStyle w:val="18"/>
          <w:rFonts w:cs="Arial"/>
          <w:sz w:val="24"/>
          <w:szCs w:val="24"/>
          <w:lang w:val="uk-UA"/>
        </w:rPr>
        <w:t>/0000-000</w:t>
      </w:r>
      <w:r>
        <w:rPr>
          <w:rStyle w:val="18"/>
          <w:rFonts w:hint="default" w:cs="Arial"/>
          <w:sz w:val="24"/>
          <w:szCs w:val="24"/>
          <w:lang w:val="pl-PL"/>
        </w:rPr>
        <w:t>5</w:t>
      </w:r>
      <w:r>
        <w:rPr>
          <w:rStyle w:val="18"/>
          <w:rFonts w:cs="Arial"/>
          <w:sz w:val="24"/>
          <w:szCs w:val="24"/>
          <w:lang w:val="uk-UA"/>
        </w:rPr>
        <w:t>-</w:t>
      </w:r>
      <w:r>
        <w:rPr>
          <w:rStyle w:val="18"/>
          <w:rFonts w:hint="default" w:cs="Arial"/>
          <w:sz w:val="24"/>
          <w:szCs w:val="24"/>
          <w:lang w:val="pl-PL"/>
        </w:rPr>
        <w:t>xxxx</w:t>
      </w:r>
      <w:r>
        <w:rPr>
          <w:rStyle w:val="18"/>
          <w:rFonts w:cs="Arial"/>
          <w:sz w:val="24"/>
          <w:szCs w:val="24"/>
          <w:lang w:val="uk-UA"/>
        </w:rPr>
        <w:t>-</w:t>
      </w:r>
      <w:r>
        <w:rPr>
          <w:rStyle w:val="18"/>
          <w:rFonts w:hint="default" w:cs="Arial"/>
          <w:sz w:val="24"/>
          <w:szCs w:val="24"/>
          <w:lang w:val="pl-PL"/>
        </w:rPr>
        <w:t>xxxx</w:t>
      </w:r>
      <w:r>
        <w:rPr>
          <w:rFonts w:cs="Arial"/>
          <w:color w:val="auto"/>
          <w:sz w:val="24"/>
          <w:szCs w:val="24"/>
          <w:u w:val="none"/>
          <w:lang w:val="en-US"/>
        </w:rPr>
        <w:fldChar w:fldCharType="end"/>
      </w:r>
    </w:p>
    <w:p w14:paraId="5D99EDFF">
      <w:pPr>
        <w:numPr>
          <w:ilvl w:val="0"/>
          <w:numId w:val="0"/>
        </w:numPr>
        <w:spacing w:line="360" w:lineRule="auto"/>
        <w:rPr>
          <w:rStyle w:val="18"/>
          <w:rFonts w:hint="default" w:cs="Arial"/>
          <w:sz w:val="24"/>
          <w:szCs w:val="24"/>
          <w:u w:val="none"/>
          <w:lang w:val="pl-PL"/>
        </w:rPr>
      </w:pPr>
      <w:r>
        <w:rPr>
          <w:rStyle w:val="18"/>
          <w:rFonts w:hint="default" w:cs="Arial"/>
          <w:sz w:val="24"/>
          <w:szCs w:val="24"/>
          <w:u w:val="none"/>
          <w:lang w:val="pl-PL"/>
        </w:rPr>
        <w:t xml:space="preserve">E-mail </w:t>
      </w:r>
      <w:r>
        <w:rPr>
          <w:rStyle w:val="18"/>
          <w:rFonts w:hint="default" w:cs="Arial"/>
          <w:sz w:val="24"/>
          <w:szCs w:val="24"/>
          <w:u w:val="none"/>
          <w:lang w:val="pl-PL"/>
        </w:rPr>
        <w:fldChar w:fldCharType="begin"/>
      </w:r>
      <w:r>
        <w:rPr>
          <w:rStyle w:val="18"/>
          <w:rFonts w:hint="default" w:cs="Arial"/>
          <w:sz w:val="24"/>
          <w:szCs w:val="24"/>
          <w:u w:val="none"/>
          <w:lang w:val="pl-PL"/>
        </w:rPr>
        <w:instrText xml:space="preserve"> HYPERLINK "mailto:x.xxxx@gmail.com" </w:instrText>
      </w:r>
      <w:r>
        <w:rPr>
          <w:rStyle w:val="18"/>
          <w:rFonts w:hint="default" w:cs="Arial"/>
          <w:sz w:val="24"/>
          <w:szCs w:val="24"/>
          <w:u w:val="none"/>
          <w:lang w:val="pl-PL"/>
        </w:rPr>
        <w:fldChar w:fldCharType="separate"/>
      </w:r>
      <w:r>
        <w:rPr>
          <w:rStyle w:val="18"/>
          <w:rFonts w:hint="default" w:cs="Arial"/>
          <w:sz w:val="24"/>
          <w:szCs w:val="24"/>
          <w:lang w:val="pl-PL"/>
        </w:rPr>
        <w:t>x.xxxx@gmail.com</w:t>
      </w:r>
      <w:r>
        <w:rPr>
          <w:rStyle w:val="18"/>
          <w:rFonts w:hint="default" w:cs="Arial"/>
          <w:sz w:val="24"/>
          <w:szCs w:val="24"/>
          <w:u w:val="none"/>
          <w:lang w:val="pl-PL"/>
        </w:rPr>
        <w:fldChar w:fldCharType="end"/>
      </w:r>
    </w:p>
    <w:p w14:paraId="5CBFF07B">
      <w:pPr>
        <w:widowControl/>
        <w:spacing w:beforeLines="0" w:afterLines="0"/>
        <w:ind w:right="-2"/>
        <w:rPr>
          <w:rFonts w:hint="default"/>
          <w:color w:val="0000FF"/>
          <w:sz w:val="24"/>
          <w:szCs w:val="24"/>
          <w:vertAlign w:val="baseline"/>
          <w:lang w:val="en-US"/>
        </w:rPr>
      </w:pPr>
      <w:r>
        <w:rPr>
          <w:rFonts w:hint="default"/>
          <w:sz w:val="24"/>
          <w:szCs w:val="24"/>
          <w:vertAlign w:val="superscript"/>
          <w:lang w:val="pl-PL"/>
        </w:rPr>
        <w:t>1</w:t>
      </w:r>
      <w:r>
        <w:rPr>
          <w:rFonts w:hint="default"/>
          <w:sz w:val="24"/>
          <w:szCs w:val="24"/>
          <w:vertAlign w:val="baseline"/>
          <w:lang w:val="pl-PL"/>
        </w:rPr>
        <w:t xml:space="preserve">Enterprise or </w:t>
      </w:r>
      <w:r>
        <w:rPr>
          <w:rFonts w:hint="default"/>
          <w:sz w:val="24"/>
          <w:szCs w:val="24"/>
          <w:vertAlign w:val="baseline"/>
          <w:lang w:val="en-US"/>
        </w:rPr>
        <w:t>University</w:t>
      </w:r>
      <w:r>
        <w:rPr>
          <w:rFonts w:hint="default"/>
          <w:sz w:val="24"/>
          <w:szCs w:val="24"/>
          <w:vertAlign w:val="baseline"/>
          <w:lang w:val="pl-PL"/>
        </w:rPr>
        <w:t xml:space="preserve">, City, Country </w:t>
      </w:r>
      <w:r>
        <w:rPr>
          <w:rFonts w:hint="default"/>
          <w:color w:val="0000FF"/>
          <w:sz w:val="24"/>
          <w:szCs w:val="24"/>
          <w:vertAlign w:val="baseline"/>
          <w:lang w:val="en-US"/>
        </w:rPr>
        <w:t>(1</w:t>
      </w:r>
      <w:r>
        <w:rPr>
          <w:rFonts w:hint="default"/>
          <w:color w:val="0000FF"/>
          <w:sz w:val="24"/>
          <w:szCs w:val="24"/>
          <w:vertAlign w:val="baseline"/>
          <w:lang w:val="pl-PL"/>
        </w:rPr>
        <w:t xml:space="preserve">2 </w:t>
      </w:r>
      <w:r>
        <w:rPr>
          <w:rFonts w:hint="default"/>
          <w:color w:val="0000FF"/>
          <w:sz w:val="24"/>
          <w:szCs w:val="24"/>
          <w:vertAlign w:val="baseline"/>
          <w:lang w:val="en-US"/>
        </w:rPr>
        <w:t>pt Times New Roman, Left)</w:t>
      </w:r>
    </w:p>
    <w:p w14:paraId="3933EF02">
      <w:pPr>
        <w:widowControl/>
        <w:spacing w:beforeLines="0" w:afterLines="0"/>
        <w:ind w:right="-2"/>
        <w:rPr>
          <w:rFonts w:hint="default"/>
          <w:color w:val="0000FF"/>
          <w:sz w:val="24"/>
          <w:szCs w:val="24"/>
          <w:vertAlign w:val="baseline"/>
          <w:lang w:val="en-US"/>
        </w:rPr>
      </w:pPr>
    </w:p>
    <w:p w14:paraId="33D18B87">
      <w:pPr>
        <w:spacing w:line="360" w:lineRule="auto"/>
        <w:rPr>
          <w:rFonts w:hint="default" w:cs="Arial"/>
          <w:color w:val="auto"/>
          <w:sz w:val="24"/>
          <w:szCs w:val="24"/>
          <w:u w:val="none"/>
          <w:lang w:val="pl-PL"/>
        </w:rPr>
      </w:pPr>
      <w:r>
        <w:rPr>
          <w:rFonts w:hint="default" w:ascii="Times New Roman" w:hAnsi="Times New Roman" w:cs="Times New Roman"/>
          <w:sz w:val="24"/>
          <w:szCs w:val="24"/>
          <w:lang w:val="pl-PL"/>
        </w:rPr>
        <w:t>Author Name Surname</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vertAlign w:val="baseline"/>
        </w:rPr>
        <w:t>,</w:t>
      </w:r>
      <w:r>
        <w:rPr>
          <w:rFonts w:hint="default" w:ascii="Times New Roman" w:hAnsi="Times New Roman" w:cs="Times New Roman"/>
          <w:sz w:val="24"/>
          <w:szCs w:val="24"/>
          <w:vertAlign w:val="baseline"/>
          <w:lang w:val="pl-PL"/>
        </w:rPr>
        <w:t xml:space="preserve"> ORCID </w:t>
      </w:r>
      <w:r>
        <w:rPr>
          <w:rFonts w:cs="Arial"/>
          <w:color w:val="auto"/>
          <w:sz w:val="24"/>
          <w:szCs w:val="24"/>
          <w:u w:val="none"/>
          <w:lang w:val="en-US"/>
        </w:rPr>
        <w:fldChar w:fldCharType="begin"/>
      </w:r>
      <w:r>
        <w:rPr>
          <w:rFonts w:cs="Arial"/>
          <w:color w:val="auto"/>
          <w:sz w:val="24"/>
          <w:szCs w:val="24"/>
          <w:u w:val="none"/>
          <w:lang w:val="en-US"/>
        </w:rPr>
        <w:instrText xml:space="preserve"> HYPERLINK "http://orcid.org/0000-0005-xxxx-xxxx" </w:instrText>
      </w:r>
      <w:r>
        <w:rPr>
          <w:rFonts w:cs="Arial"/>
          <w:color w:val="auto"/>
          <w:sz w:val="24"/>
          <w:szCs w:val="24"/>
          <w:u w:val="none"/>
          <w:lang w:val="en-US"/>
        </w:rPr>
        <w:fldChar w:fldCharType="separate"/>
      </w:r>
      <w:r>
        <w:rPr>
          <w:rStyle w:val="18"/>
          <w:rFonts w:cs="Arial"/>
          <w:sz w:val="24"/>
          <w:szCs w:val="24"/>
          <w:lang w:val="en-US"/>
        </w:rPr>
        <w:t>http</w:t>
      </w:r>
      <w:r>
        <w:rPr>
          <w:rStyle w:val="18"/>
          <w:rFonts w:cs="Arial"/>
          <w:sz w:val="24"/>
          <w:szCs w:val="24"/>
          <w:lang w:val="uk-UA"/>
        </w:rPr>
        <w:t>://</w:t>
      </w:r>
      <w:r>
        <w:rPr>
          <w:rStyle w:val="18"/>
          <w:rFonts w:cs="Arial"/>
          <w:sz w:val="24"/>
          <w:szCs w:val="24"/>
          <w:lang w:val="en-US"/>
        </w:rPr>
        <w:t>orcid</w:t>
      </w:r>
      <w:r>
        <w:rPr>
          <w:rStyle w:val="18"/>
          <w:rFonts w:cs="Arial"/>
          <w:sz w:val="24"/>
          <w:szCs w:val="24"/>
          <w:lang w:val="uk-UA"/>
        </w:rPr>
        <w:t>.</w:t>
      </w:r>
      <w:r>
        <w:rPr>
          <w:rStyle w:val="18"/>
          <w:rFonts w:cs="Arial"/>
          <w:sz w:val="24"/>
          <w:szCs w:val="24"/>
          <w:lang w:val="en-US"/>
        </w:rPr>
        <w:t>org</w:t>
      </w:r>
      <w:r>
        <w:rPr>
          <w:rStyle w:val="18"/>
          <w:rFonts w:cs="Arial"/>
          <w:sz w:val="24"/>
          <w:szCs w:val="24"/>
          <w:lang w:val="uk-UA"/>
        </w:rPr>
        <w:t>/0000-000</w:t>
      </w:r>
      <w:r>
        <w:rPr>
          <w:rStyle w:val="18"/>
          <w:rFonts w:hint="default" w:cs="Arial"/>
          <w:sz w:val="24"/>
          <w:szCs w:val="24"/>
          <w:lang w:val="pl-PL"/>
        </w:rPr>
        <w:t>5</w:t>
      </w:r>
      <w:r>
        <w:rPr>
          <w:rStyle w:val="18"/>
          <w:rFonts w:cs="Arial"/>
          <w:sz w:val="24"/>
          <w:szCs w:val="24"/>
          <w:lang w:val="uk-UA"/>
        </w:rPr>
        <w:t>-</w:t>
      </w:r>
      <w:r>
        <w:rPr>
          <w:rStyle w:val="18"/>
          <w:rFonts w:hint="default" w:cs="Arial"/>
          <w:sz w:val="24"/>
          <w:szCs w:val="24"/>
          <w:lang w:val="pl-PL"/>
        </w:rPr>
        <w:t>xxxx</w:t>
      </w:r>
      <w:r>
        <w:rPr>
          <w:rStyle w:val="18"/>
          <w:rFonts w:cs="Arial"/>
          <w:sz w:val="24"/>
          <w:szCs w:val="24"/>
          <w:lang w:val="uk-UA"/>
        </w:rPr>
        <w:t>-</w:t>
      </w:r>
      <w:r>
        <w:rPr>
          <w:rStyle w:val="18"/>
          <w:rFonts w:hint="default" w:cs="Arial"/>
          <w:sz w:val="24"/>
          <w:szCs w:val="24"/>
          <w:lang w:val="pl-PL"/>
        </w:rPr>
        <w:t>xxxx</w:t>
      </w:r>
      <w:r>
        <w:rPr>
          <w:rFonts w:cs="Arial"/>
          <w:color w:val="auto"/>
          <w:sz w:val="24"/>
          <w:szCs w:val="24"/>
          <w:u w:val="none"/>
          <w:lang w:val="en-US"/>
        </w:rPr>
        <w:fldChar w:fldCharType="end"/>
      </w:r>
    </w:p>
    <w:p w14:paraId="6A749EE4">
      <w:pPr>
        <w:numPr>
          <w:ilvl w:val="0"/>
          <w:numId w:val="0"/>
        </w:numPr>
        <w:spacing w:line="360" w:lineRule="auto"/>
        <w:rPr>
          <w:rStyle w:val="18"/>
          <w:rFonts w:hint="default" w:cs="Arial"/>
          <w:sz w:val="24"/>
          <w:szCs w:val="24"/>
          <w:u w:val="none"/>
          <w:lang w:val="pl-PL"/>
        </w:rPr>
      </w:pPr>
      <w:r>
        <w:rPr>
          <w:rStyle w:val="18"/>
          <w:rFonts w:hint="default" w:cs="Arial"/>
          <w:sz w:val="24"/>
          <w:szCs w:val="24"/>
          <w:u w:val="none"/>
          <w:lang w:val="pl-PL"/>
        </w:rPr>
        <w:t xml:space="preserve">E-mail </w:t>
      </w:r>
      <w:r>
        <w:rPr>
          <w:rStyle w:val="18"/>
          <w:rFonts w:hint="default" w:cs="Arial"/>
          <w:sz w:val="24"/>
          <w:szCs w:val="24"/>
          <w:u w:val="none"/>
          <w:lang w:val="pl-PL"/>
        </w:rPr>
        <w:fldChar w:fldCharType="begin"/>
      </w:r>
      <w:r>
        <w:rPr>
          <w:rStyle w:val="18"/>
          <w:rFonts w:hint="default" w:cs="Arial"/>
          <w:sz w:val="24"/>
          <w:szCs w:val="24"/>
          <w:u w:val="none"/>
          <w:lang w:val="pl-PL"/>
        </w:rPr>
        <w:instrText xml:space="preserve"> HYPERLINK "mailto:x.xxxx@gmail.com" </w:instrText>
      </w:r>
      <w:r>
        <w:rPr>
          <w:rStyle w:val="18"/>
          <w:rFonts w:hint="default" w:cs="Arial"/>
          <w:sz w:val="24"/>
          <w:szCs w:val="24"/>
          <w:u w:val="none"/>
          <w:lang w:val="pl-PL"/>
        </w:rPr>
        <w:fldChar w:fldCharType="separate"/>
      </w:r>
      <w:r>
        <w:rPr>
          <w:rStyle w:val="18"/>
          <w:rFonts w:hint="default" w:cs="Arial"/>
          <w:sz w:val="24"/>
          <w:szCs w:val="24"/>
          <w:lang w:val="pl-PL"/>
        </w:rPr>
        <w:t>x.xxxx@gmail.com</w:t>
      </w:r>
      <w:r>
        <w:rPr>
          <w:rStyle w:val="18"/>
          <w:rFonts w:hint="default" w:cs="Arial"/>
          <w:sz w:val="24"/>
          <w:szCs w:val="24"/>
          <w:u w:val="none"/>
          <w:lang w:val="pl-PL"/>
        </w:rPr>
        <w:fldChar w:fldCharType="end"/>
      </w:r>
    </w:p>
    <w:p w14:paraId="6B924F07">
      <w:pPr>
        <w:widowControl/>
        <w:spacing w:beforeLines="0" w:afterLines="0"/>
        <w:ind w:right="-2"/>
        <w:rPr>
          <w:rFonts w:hint="default"/>
          <w:color w:val="0000FF"/>
          <w:sz w:val="24"/>
          <w:szCs w:val="24"/>
          <w:vertAlign w:val="baseline"/>
          <w:lang w:val="en-US"/>
        </w:rPr>
      </w:pPr>
      <w:r>
        <w:rPr>
          <w:rFonts w:hint="default"/>
          <w:sz w:val="24"/>
          <w:szCs w:val="24"/>
          <w:vertAlign w:val="superscript"/>
          <w:lang w:val="pl-PL"/>
        </w:rPr>
        <w:t>1</w:t>
      </w:r>
      <w:r>
        <w:rPr>
          <w:rFonts w:hint="default"/>
          <w:sz w:val="24"/>
          <w:szCs w:val="24"/>
          <w:vertAlign w:val="baseline"/>
          <w:lang w:val="pl-PL"/>
        </w:rPr>
        <w:t xml:space="preserve">Enterprise or </w:t>
      </w:r>
      <w:r>
        <w:rPr>
          <w:rFonts w:hint="default"/>
          <w:sz w:val="24"/>
          <w:szCs w:val="24"/>
          <w:vertAlign w:val="baseline"/>
          <w:lang w:val="en-US"/>
        </w:rPr>
        <w:t>University</w:t>
      </w:r>
      <w:r>
        <w:rPr>
          <w:rFonts w:hint="default"/>
          <w:sz w:val="24"/>
          <w:szCs w:val="24"/>
          <w:vertAlign w:val="baseline"/>
          <w:lang w:val="pl-PL"/>
        </w:rPr>
        <w:t xml:space="preserve">, City, Country </w:t>
      </w:r>
      <w:r>
        <w:rPr>
          <w:rFonts w:hint="default"/>
          <w:color w:val="0000FF"/>
          <w:sz w:val="24"/>
          <w:szCs w:val="24"/>
          <w:vertAlign w:val="baseline"/>
          <w:lang w:val="en-US"/>
        </w:rPr>
        <w:t>(1</w:t>
      </w:r>
      <w:r>
        <w:rPr>
          <w:rFonts w:hint="default"/>
          <w:color w:val="0000FF"/>
          <w:sz w:val="24"/>
          <w:szCs w:val="24"/>
          <w:vertAlign w:val="baseline"/>
          <w:lang w:val="pl-PL"/>
        </w:rPr>
        <w:t xml:space="preserve">2 </w:t>
      </w:r>
      <w:r>
        <w:rPr>
          <w:rFonts w:hint="default"/>
          <w:color w:val="0000FF"/>
          <w:sz w:val="24"/>
          <w:szCs w:val="24"/>
          <w:vertAlign w:val="baseline"/>
          <w:lang w:val="en-US"/>
        </w:rPr>
        <w:t>pt Times New Roman, Left)</w:t>
      </w:r>
    </w:p>
    <w:p w14:paraId="697073BF">
      <w:pPr>
        <w:spacing w:line="360" w:lineRule="auto"/>
        <w:rPr>
          <w:rFonts w:hint="default" w:ascii="Times New Roman" w:hAnsi="Times New Roman" w:cs="Times New Roman"/>
          <w:sz w:val="24"/>
          <w:szCs w:val="24"/>
          <w:lang w:val="pl-PL"/>
        </w:rPr>
      </w:pPr>
    </w:p>
    <w:p w14:paraId="314C4986">
      <w:pPr>
        <w:spacing w:line="360" w:lineRule="auto"/>
        <w:rPr>
          <w:rFonts w:hint="default" w:cs="Arial"/>
          <w:color w:val="auto"/>
          <w:sz w:val="24"/>
          <w:szCs w:val="24"/>
          <w:u w:val="none"/>
          <w:lang w:val="pl-PL"/>
        </w:rPr>
      </w:pPr>
      <w:r>
        <w:rPr>
          <w:rFonts w:hint="default" w:ascii="Times New Roman" w:hAnsi="Times New Roman" w:cs="Times New Roman"/>
          <w:sz w:val="24"/>
          <w:szCs w:val="24"/>
          <w:lang w:val="pl-PL"/>
        </w:rPr>
        <w:t>Author Name Surname</w:t>
      </w:r>
      <w:r>
        <w:rPr>
          <w:rFonts w:hint="default" w:ascii="Times New Roman" w:hAnsi="Times New Roman" w:cs="Times New Roman"/>
          <w:sz w:val="24"/>
          <w:szCs w:val="24"/>
          <w:vertAlign w:val="superscript"/>
          <w:lang w:val="pl-PL"/>
        </w:rPr>
        <w:t>2</w:t>
      </w:r>
      <w:r>
        <w:rPr>
          <w:rFonts w:hint="default" w:ascii="Times New Roman" w:hAnsi="Times New Roman" w:cs="Times New Roman"/>
          <w:sz w:val="24"/>
          <w:szCs w:val="24"/>
          <w:vertAlign w:val="baseline"/>
        </w:rPr>
        <w:t>,</w:t>
      </w:r>
      <w:r>
        <w:rPr>
          <w:rFonts w:hint="default" w:ascii="Times New Roman" w:hAnsi="Times New Roman" w:cs="Times New Roman"/>
          <w:sz w:val="24"/>
          <w:szCs w:val="24"/>
          <w:vertAlign w:val="baseline"/>
          <w:lang w:val="pl-PL"/>
        </w:rPr>
        <w:t xml:space="preserve"> ORCID </w:t>
      </w:r>
      <w:r>
        <w:rPr>
          <w:rFonts w:cs="Arial"/>
          <w:color w:val="auto"/>
          <w:sz w:val="24"/>
          <w:szCs w:val="24"/>
          <w:u w:val="none"/>
          <w:lang w:val="en-US"/>
        </w:rPr>
        <w:fldChar w:fldCharType="begin"/>
      </w:r>
      <w:r>
        <w:rPr>
          <w:rFonts w:cs="Arial"/>
          <w:color w:val="auto"/>
          <w:sz w:val="24"/>
          <w:szCs w:val="24"/>
          <w:u w:val="none"/>
          <w:lang w:val="en-US"/>
        </w:rPr>
        <w:instrText xml:space="preserve"> HYPERLINK "http://orcid.org/0000-0005-xxxx-xxxx" </w:instrText>
      </w:r>
      <w:r>
        <w:rPr>
          <w:rFonts w:cs="Arial"/>
          <w:color w:val="auto"/>
          <w:sz w:val="24"/>
          <w:szCs w:val="24"/>
          <w:u w:val="none"/>
          <w:lang w:val="en-US"/>
        </w:rPr>
        <w:fldChar w:fldCharType="separate"/>
      </w:r>
      <w:r>
        <w:rPr>
          <w:rStyle w:val="18"/>
          <w:rFonts w:cs="Arial"/>
          <w:sz w:val="24"/>
          <w:szCs w:val="24"/>
          <w:lang w:val="en-US"/>
        </w:rPr>
        <w:t>http</w:t>
      </w:r>
      <w:r>
        <w:rPr>
          <w:rStyle w:val="18"/>
          <w:rFonts w:cs="Arial"/>
          <w:sz w:val="24"/>
          <w:szCs w:val="24"/>
          <w:lang w:val="uk-UA"/>
        </w:rPr>
        <w:t>://</w:t>
      </w:r>
      <w:r>
        <w:rPr>
          <w:rStyle w:val="18"/>
          <w:rFonts w:cs="Arial"/>
          <w:sz w:val="24"/>
          <w:szCs w:val="24"/>
          <w:lang w:val="en-US"/>
        </w:rPr>
        <w:t>orcid</w:t>
      </w:r>
      <w:r>
        <w:rPr>
          <w:rStyle w:val="18"/>
          <w:rFonts w:cs="Arial"/>
          <w:sz w:val="24"/>
          <w:szCs w:val="24"/>
          <w:lang w:val="uk-UA"/>
        </w:rPr>
        <w:t>.</w:t>
      </w:r>
      <w:r>
        <w:rPr>
          <w:rStyle w:val="18"/>
          <w:rFonts w:cs="Arial"/>
          <w:sz w:val="24"/>
          <w:szCs w:val="24"/>
          <w:lang w:val="en-US"/>
        </w:rPr>
        <w:t>org</w:t>
      </w:r>
      <w:r>
        <w:rPr>
          <w:rStyle w:val="18"/>
          <w:rFonts w:cs="Arial"/>
          <w:sz w:val="24"/>
          <w:szCs w:val="24"/>
          <w:lang w:val="uk-UA"/>
        </w:rPr>
        <w:t>/0000-000</w:t>
      </w:r>
      <w:r>
        <w:rPr>
          <w:rStyle w:val="18"/>
          <w:rFonts w:hint="default" w:cs="Arial"/>
          <w:sz w:val="24"/>
          <w:szCs w:val="24"/>
          <w:lang w:val="pl-PL"/>
        </w:rPr>
        <w:t>5</w:t>
      </w:r>
      <w:r>
        <w:rPr>
          <w:rStyle w:val="18"/>
          <w:rFonts w:cs="Arial"/>
          <w:sz w:val="24"/>
          <w:szCs w:val="24"/>
          <w:lang w:val="uk-UA"/>
        </w:rPr>
        <w:t>-</w:t>
      </w:r>
      <w:r>
        <w:rPr>
          <w:rStyle w:val="18"/>
          <w:rFonts w:hint="default" w:cs="Arial"/>
          <w:sz w:val="24"/>
          <w:szCs w:val="24"/>
          <w:lang w:val="pl-PL"/>
        </w:rPr>
        <w:t>xxxx</w:t>
      </w:r>
      <w:r>
        <w:rPr>
          <w:rStyle w:val="18"/>
          <w:rFonts w:cs="Arial"/>
          <w:sz w:val="24"/>
          <w:szCs w:val="24"/>
          <w:lang w:val="uk-UA"/>
        </w:rPr>
        <w:t>-</w:t>
      </w:r>
      <w:r>
        <w:rPr>
          <w:rStyle w:val="18"/>
          <w:rFonts w:hint="default" w:cs="Arial"/>
          <w:sz w:val="24"/>
          <w:szCs w:val="24"/>
          <w:lang w:val="pl-PL"/>
        </w:rPr>
        <w:t>xxxx</w:t>
      </w:r>
      <w:r>
        <w:rPr>
          <w:rFonts w:cs="Arial"/>
          <w:color w:val="auto"/>
          <w:sz w:val="24"/>
          <w:szCs w:val="24"/>
          <w:u w:val="none"/>
          <w:lang w:val="en-US"/>
        </w:rPr>
        <w:fldChar w:fldCharType="end"/>
      </w:r>
    </w:p>
    <w:p w14:paraId="261842AC">
      <w:pPr>
        <w:numPr>
          <w:ilvl w:val="0"/>
          <w:numId w:val="0"/>
        </w:numPr>
        <w:spacing w:line="360" w:lineRule="auto"/>
        <w:rPr>
          <w:rStyle w:val="18"/>
          <w:rFonts w:hint="default" w:cs="Arial"/>
          <w:sz w:val="24"/>
          <w:szCs w:val="24"/>
          <w:u w:val="none"/>
          <w:lang w:val="pl-PL"/>
        </w:rPr>
      </w:pPr>
      <w:r>
        <w:rPr>
          <w:rStyle w:val="18"/>
          <w:rFonts w:hint="default" w:cs="Arial"/>
          <w:sz w:val="24"/>
          <w:szCs w:val="24"/>
          <w:u w:val="none"/>
          <w:lang w:val="pl-PL"/>
        </w:rPr>
        <w:t xml:space="preserve">E-mail </w:t>
      </w:r>
      <w:r>
        <w:rPr>
          <w:rStyle w:val="18"/>
          <w:rFonts w:hint="default" w:cs="Arial"/>
          <w:sz w:val="24"/>
          <w:szCs w:val="24"/>
          <w:u w:val="none"/>
          <w:lang w:val="pl-PL"/>
        </w:rPr>
        <w:fldChar w:fldCharType="begin"/>
      </w:r>
      <w:r>
        <w:rPr>
          <w:rStyle w:val="18"/>
          <w:rFonts w:hint="default" w:cs="Arial"/>
          <w:sz w:val="24"/>
          <w:szCs w:val="24"/>
          <w:u w:val="none"/>
          <w:lang w:val="pl-PL"/>
        </w:rPr>
        <w:instrText xml:space="preserve"> HYPERLINK "mailto:x.xxxx@gmail.com" </w:instrText>
      </w:r>
      <w:r>
        <w:rPr>
          <w:rStyle w:val="18"/>
          <w:rFonts w:hint="default" w:cs="Arial"/>
          <w:sz w:val="24"/>
          <w:szCs w:val="24"/>
          <w:u w:val="none"/>
          <w:lang w:val="pl-PL"/>
        </w:rPr>
        <w:fldChar w:fldCharType="separate"/>
      </w:r>
      <w:r>
        <w:rPr>
          <w:rStyle w:val="18"/>
          <w:rFonts w:hint="default" w:cs="Arial"/>
          <w:sz w:val="24"/>
          <w:szCs w:val="24"/>
          <w:lang w:val="pl-PL"/>
        </w:rPr>
        <w:t>x.xxxx@gmail.com</w:t>
      </w:r>
      <w:r>
        <w:rPr>
          <w:rStyle w:val="18"/>
          <w:rFonts w:hint="default" w:cs="Arial"/>
          <w:sz w:val="24"/>
          <w:szCs w:val="24"/>
          <w:u w:val="none"/>
          <w:lang w:val="pl-PL"/>
        </w:rPr>
        <w:fldChar w:fldCharType="end"/>
      </w:r>
    </w:p>
    <w:p w14:paraId="1D0983C3">
      <w:pPr>
        <w:widowControl/>
        <w:spacing w:beforeLines="0" w:afterLines="0"/>
        <w:ind w:right="-2"/>
        <w:rPr>
          <w:rFonts w:hint="default"/>
          <w:color w:val="0000FF"/>
          <w:sz w:val="24"/>
          <w:szCs w:val="24"/>
          <w:vertAlign w:val="baseline"/>
          <w:lang w:val="en-US"/>
        </w:rPr>
      </w:pPr>
      <w:r>
        <w:rPr>
          <w:rFonts w:hint="default"/>
          <w:sz w:val="24"/>
          <w:szCs w:val="24"/>
          <w:vertAlign w:val="superscript"/>
          <w:lang w:val="pl-PL"/>
        </w:rPr>
        <w:t>2</w:t>
      </w:r>
      <w:r>
        <w:rPr>
          <w:rFonts w:hint="default"/>
          <w:sz w:val="24"/>
          <w:szCs w:val="24"/>
          <w:vertAlign w:val="baseline"/>
          <w:lang w:val="pl-PL"/>
        </w:rPr>
        <w:t xml:space="preserve">Enterprise or </w:t>
      </w:r>
      <w:r>
        <w:rPr>
          <w:rFonts w:hint="default"/>
          <w:sz w:val="24"/>
          <w:szCs w:val="24"/>
          <w:vertAlign w:val="baseline"/>
          <w:lang w:val="en-US"/>
        </w:rPr>
        <w:t>University</w:t>
      </w:r>
      <w:r>
        <w:rPr>
          <w:rFonts w:hint="default"/>
          <w:sz w:val="24"/>
          <w:szCs w:val="24"/>
          <w:vertAlign w:val="baseline"/>
          <w:lang w:val="pl-PL"/>
        </w:rPr>
        <w:t xml:space="preserve">, City, Country </w:t>
      </w:r>
      <w:r>
        <w:rPr>
          <w:rFonts w:hint="default"/>
          <w:color w:val="0000FF"/>
          <w:sz w:val="24"/>
          <w:szCs w:val="24"/>
          <w:vertAlign w:val="baseline"/>
          <w:lang w:val="en-US"/>
        </w:rPr>
        <w:t>(1</w:t>
      </w:r>
      <w:r>
        <w:rPr>
          <w:rFonts w:hint="default"/>
          <w:color w:val="0000FF"/>
          <w:sz w:val="24"/>
          <w:szCs w:val="24"/>
          <w:vertAlign w:val="baseline"/>
          <w:lang w:val="pl-PL"/>
        </w:rPr>
        <w:t xml:space="preserve">2 </w:t>
      </w:r>
      <w:r>
        <w:rPr>
          <w:rFonts w:hint="default"/>
          <w:color w:val="0000FF"/>
          <w:sz w:val="24"/>
          <w:szCs w:val="24"/>
          <w:vertAlign w:val="baseline"/>
          <w:lang w:val="en-US"/>
        </w:rPr>
        <w:t>pt Times New Roman, Left)</w:t>
      </w:r>
    </w:p>
    <w:p w14:paraId="0DF07BD9">
      <w:pPr>
        <w:spacing w:line="360" w:lineRule="auto"/>
        <w:jc w:val="both"/>
        <w:rPr>
          <w:b/>
          <w:bCs/>
          <w:sz w:val="24"/>
          <w:szCs w:val="24"/>
          <w:lang w:val="en-GB" w:eastAsia="el-GR"/>
        </w:rPr>
      </w:pPr>
    </w:p>
    <w:p w14:paraId="2ADF0B67">
      <w:pPr>
        <w:spacing w:line="360" w:lineRule="auto"/>
        <w:jc w:val="both"/>
        <w:rPr>
          <w:rFonts w:hint="default"/>
          <w:b/>
          <w:bCs/>
          <w:sz w:val="24"/>
          <w:szCs w:val="24"/>
          <w:lang w:val="pl-PL" w:eastAsia="el-GR"/>
        </w:rPr>
      </w:pPr>
      <w:r>
        <w:rPr>
          <w:rFonts w:hint="default"/>
          <w:b/>
          <w:bCs/>
          <w:sz w:val="24"/>
          <w:szCs w:val="24"/>
          <w:lang w:val="pl-PL" w:eastAsia="el-GR"/>
        </w:rPr>
        <w:t>...</w:t>
      </w:r>
    </w:p>
    <w:p w14:paraId="3578F62F">
      <w:pPr>
        <w:spacing w:line="360" w:lineRule="auto"/>
        <w:jc w:val="both"/>
        <w:rPr>
          <w:b/>
          <w:bCs/>
          <w:sz w:val="24"/>
          <w:szCs w:val="24"/>
          <w:lang w:val="en-GB" w:eastAsia="el-GR"/>
        </w:rPr>
      </w:pPr>
    </w:p>
    <w:p w14:paraId="0D4DFE2E">
      <w:pPr>
        <w:spacing w:line="360" w:lineRule="auto"/>
        <w:jc w:val="both"/>
        <w:rPr>
          <w:b/>
          <w:bCs/>
          <w:sz w:val="24"/>
          <w:szCs w:val="24"/>
          <w:lang w:val="en-GB" w:eastAsia="el-GR"/>
        </w:rPr>
      </w:pPr>
    </w:p>
    <w:p w14:paraId="407D5003">
      <w:pPr>
        <w:spacing w:line="360" w:lineRule="auto"/>
        <w:jc w:val="both"/>
        <w:rPr>
          <w:rFonts w:hint="default"/>
          <w:b/>
          <w:bCs/>
          <w:sz w:val="24"/>
          <w:szCs w:val="24"/>
          <w:lang w:val="pl-PL" w:eastAsia="el-GR"/>
        </w:rPr>
      </w:pPr>
      <w:r>
        <w:rPr>
          <w:rFonts w:hint="default"/>
          <w:b/>
          <w:bCs/>
          <w:sz w:val="24"/>
          <w:szCs w:val="24"/>
          <w:lang w:val="pl-PL" w:eastAsia="el-GR"/>
        </w:rPr>
        <w:t>Corresponding Author</w:t>
      </w:r>
    </w:p>
    <w:p w14:paraId="0B0969E9">
      <w:pPr>
        <w:spacing w:line="360" w:lineRule="auto"/>
        <w:rPr>
          <w:b/>
          <w:bCs/>
          <w:sz w:val="24"/>
          <w:szCs w:val="24"/>
          <w:lang w:val="en-GB" w:eastAsia="el-GR"/>
        </w:rPr>
      </w:pPr>
      <w:r>
        <w:rPr>
          <w:rFonts w:hint="default" w:ascii="Times New Roman" w:hAnsi="Times New Roman" w:cs="Times New Roman"/>
          <w:sz w:val="24"/>
          <w:szCs w:val="24"/>
          <w:lang w:val="pl-PL"/>
        </w:rPr>
        <w:t>Author Name Surname</w:t>
      </w:r>
      <w:r>
        <w:rPr>
          <w:rFonts w:hint="default" w:ascii="Times New Roman" w:hAnsi="Times New Roman" w:cs="Times New Roman"/>
          <w:sz w:val="24"/>
          <w:szCs w:val="24"/>
          <w:vertAlign w:val="baseline"/>
        </w:rPr>
        <w:t>,</w:t>
      </w:r>
      <w:r>
        <w:rPr>
          <w:rFonts w:hint="default" w:ascii="Times New Roman" w:hAnsi="Times New Roman" w:cs="Times New Roman"/>
          <w:sz w:val="24"/>
          <w:szCs w:val="24"/>
          <w:vertAlign w:val="baseline"/>
          <w:lang w:val="pl-PL"/>
        </w:rPr>
        <w:t xml:space="preserve"> </w:t>
      </w:r>
      <w:r>
        <w:rPr>
          <w:rStyle w:val="18"/>
          <w:rFonts w:hint="default" w:cs="Arial"/>
          <w:sz w:val="24"/>
          <w:szCs w:val="24"/>
          <w:u w:val="none"/>
          <w:lang w:val="pl-PL"/>
        </w:rPr>
        <w:t xml:space="preserve">E-mail </w:t>
      </w:r>
      <w:r>
        <w:rPr>
          <w:rStyle w:val="18"/>
          <w:rFonts w:hint="default" w:cs="Arial"/>
          <w:sz w:val="24"/>
          <w:szCs w:val="24"/>
          <w:u w:val="none"/>
          <w:lang w:val="pl-PL"/>
        </w:rPr>
        <w:fldChar w:fldCharType="begin"/>
      </w:r>
      <w:r>
        <w:rPr>
          <w:rStyle w:val="18"/>
          <w:rFonts w:hint="default" w:cs="Arial"/>
          <w:sz w:val="24"/>
          <w:szCs w:val="24"/>
          <w:u w:val="none"/>
          <w:lang w:val="pl-PL"/>
        </w:rPr>
        <w:instrText xml:space="preserve"> HYPERLINK "mailto:x.xxxx@gmail.com" </w:instrText>
      </w:r>
      <w:r>
        <w:rPr>
          <w:rStyle w:val="18"/>
          <w:rFonts w:hint="default" w:cs="Arial"/>
          <w:sz w:val="24"/>
          <w:szCs w:val="24"/>
          <w:u w:val="none"/>
          <w:lang w:val="pl-PL"/>
        </w:rPr>
        <w:fldChar w:fldCharType="separate"/>
      </w:r>
      <w:r>
        <w:rPr>
          <w:rStyle w:val="18"/>
          <w:rFonts w:hint="default" w:cs="Arial"/>
          <w:sz w:val="24"/>
          <w:szCs w:val="24"/>
          <w:lang w:val="pl-PL"/>
        </w:rPr>
        <w:t>x.xxxx@gmail.com</w:t>
      </w:r>
      <w:r>
        <w:rPr>
          <w:rStyle w:val="18"/>
          <w:rFonts w:hint="default" w:cs="Arial"/>
          <w:sz w:val="24"/>
          <w:szCs w:val="24"/>
          <w:u w:val="none"/>
          <w:lang w:val="pl-PL"/>
        </w:rPr>
        <w:fldChar w:fldCharType="end"/>
      </w:r>
    </w:p>
    <w:p w14:paraId="782442AF">
      <w:pPr>
        <w:spacing w:line="360" w:lineRule="auto"/>
        <w:jc w:val="both"/>
        <w:rPr>
          <w:b/>
          <w:bCs/>
          <w:sz w:val="24"/>
          <w:szCs w:val="24"/>
          <w:lang w:val="en-GB" w:eastAsia="el-GR"/>
        </w:rPr>
      </w:pPr>
    </w:p>
    <w:p w14:paraId="7A50BF5E">
      <w:pPr>
        <w:spacing w:line="360" w:lineRule="auto"/>
        <w:jc w:val="both"/>
        <w:rPr>
          <w:b/>
          <w:bCs/>
          <w:sz w:val="24"/>
          <w:szCs w:val="24"/>
          <w:lang w:val="en-GB" w:eastAsia="el-GR"/>
        </w:rPr>
      </w:pPr>
    </w:p>
    <w:p w14:paraId="19C70761">
      <w:pPr>
        <w:spacing w:line="360" w:lineRule="auto"/>
        <w:jc w:val="both"/>
        <w:rPr>
          <w:b/>
          <w:bCs/>
          <w:sz w:val="24"/>
          <w:szCs w:val="24"/>
          <w:lang w:val="en-GB" w:eastAsia="el-GR"/>
        </w:rPr>
      </w:pPr>
    </w:p>
    <w:p w14:paraId="75099C52">
      <w:pPr>
        <w:spacing w:line="360" w:lineRule="auto"/>
        <w:jc w:val="both"/>
        <w:rPr>
          <w:b/>
          <w:bCs/>
          <w:sz w:val="24"/>
          <w:szCs w:val="24"/>
          <w:lang w:val="en-GB" w:eastAsia="el-GR"/>
        </w:rPr>
      </w:pPr>
    </w:p>
    <w:p w14:paraId="6CD34ACB">
      <w:pPr>
        <w:spacing w:line="360" w:lineRule="auto"/>
        <w:jc w:val="both"/>
        <w:rPr>
          <w:b/>
          <w:bCs/>
          <w:sz w:val="24"/>
          <w:szCs w:val="24"/>
          <w:lang w:val="en-GB" w:eastAsia="el-GR"/>
        </w:rPr>
      </w:pPr>
    </w:p>
    <w:p w14:paraId="252D4018">
      <w:pPr>
        <w:spacing w:line="360" w:lineRule="auto"/>
        <w:jc w:val="both"/>
        <w:rPr>
          <w:b/>
          <w:bCs/>
          <w:sz w:val="24"/>
          <w:szCs w:val="24"/>
          <w:lang w:val="en-GB" w:eastAsia="el-GR"/>
        </w:rPr>
      </w:pPr>
    </w:p>
    <w:p w14:paraId="50646C28">
      <w:pPr>
        <w:tabs>
          <w:tab w:val="left" w:pos="1134"/>
        </w:tabs>
        <w:spacing w:line="360" w:lineRule="auto"/>
        <w:jc w:val="both"/>
        <w:rPr>
          <w:rFonts w:hint="default"/>
          <w:b/>
          <w:bCs/>
          <w:sz w:val="24"/>
          <w:szCs w:val="24"/>
          <w:lang w:val="pl-PL" w:eastAsia="en-US"/>
        </w:rPr>
      </w:pPr>
      <w:r>
        <w:rPr>
          <w:b/>
          <w:bCs/>
          <w:sz w:val="24"/>
          <w:szCs w:val="24"/>
          <w:lang w:val="en-GB" w:eastAsia="en-US"/>
        </w:rPr>
        <w:t>Abstract</w:t>
      </w:r>
      <w:r>
        <w:rPr>
          <w:rFonts w:hint="default"/>
          <w:b/>
          <w:bCs/>
          <w:color w:val="0070C0"/>
          <w:sz w:val="24"/>
          <w:szCs w:val="24"/>
          <w:lang w:val="pl-PL" w:eastAsia="en-US"/>
        </w:rPr>
        <w:t xml:space="preserve"> (Structured)</w:t>
      </w:r>
    </w:p>
    <w:p w14:paraId="610B2F0E">
      <w:pPr>
        <w:tabs>
          <w:tab w:val="left" w:pos="1134"/>
        </w:tabs>
        <w:spacing w:line="360" w:lineRule="auto"/>
        <w:jc w:val="both"/>
        <w:rPr>
          <w:sz w:val="24"/>
          <w:szCs w:val="24"/>
          <w:lang w:val="en-GB" w:eastAsia="en-US"/>
        </w:rPr>
      </w:pPr>
      <w:r>
        <w:rPr>
          <w:b/>
          <w:sz w:val="24"/>
          <w:szCs w:val="24"/>
          <w:lang w:val="en-US"/>
        </w:rPr>
        <w:t>Background</w:t>
      </w:r>
      <w:r>
        <w:rPr>
          <w:rFonts w:hint="default"/>
          <w:b/>
          <w:sz w:val="24"/>
          <w:szCs w:val="24"/>
          <w:lang w:val="pl-PL"/>
        </w:rPr>
        <w:t xml:space="preserve">. </w:t>
      </w:r>
      <w:r>
        <w:rPr>
          <w:rFonts w:hint="default"/>
          <w:b w:val="0"/>
          <w:bCs/>
          <w:sz w:val="24"/>
          <w:szCs w:val="24"/>
          <w:lang w:val="pl-PL"/>
        </w:rPr>
        <w:t>X</w:t>
      </w:r>
      <w:r>
        <w:rPr>
          <w:b w:val="0"/>
          <w:bCs/>
          <w:sz w:val="24"/>
          <w:szCs w:val="24"/>
          <w:lang w:val="en-GB" w:eastAsia="en-US"/>
        </w:rPr>
        <w:t>x</w:t>
      </w:r>
      <w:r>
        <w:rPr>
          <w:sz w:val="24"/>
          <w:szCs w:val="24"/>
          <w:lang w:val="en-GB" w:eastAsia="en-US"/>
        </w:rPr>
        <w:t>xxxxxxxxxxxxxxx.</w:t>
      </w:r>
    </w:p>
    <w:p w14:paraId="66F7B826">
      <w:pPr>
        <w:tabs>
          <w:tab w:val="left" w:pos="1134"/>
        </w:tabs>
        <w:spacing w:line="360" w:lineRule="auto"/>
        <w:jc w:val="both"/>
        <w:rPr>
          <w:iCs/>
          <w:sz w:val="24"/>
          <w:szCs w:val="24"/>
          <w:lang w:val="en-GB" w:eastAsia="en-US"/>
        </w:rPr>
      </w:pPr>
      <w:r>
        <w:rPr>
          <w:b/>
          <w:bCs/>
          <w:iCs/>
          <w:sz w:val="24"/>
          <w:szCs w:val="24"/>
          <w:lang w:val="en-GB" w:eastAsia="en-US"/>
        </w:rPr>
        <w:t>Aim.</w:t>
      </w:r>
      <w:r>
        <w:rPr>
          <w:iCs/>
          <w:sz w:val="24"/>
          <w:szCs w:val="24"/>
          <w:lang w:val="en-GB" w:eastAsia="en-US"/>
        </w:rPr>
        <w:t xml:space="preserve"> </w:t>
      </w:r>
      <w:r>
        <w:rPr>
          <w:rFonts w:hint="default"/>
          <w:iCs/>
          <w:sz w:val="24"/>
          <w:szCs w:val="24"/>
          <w:lang w:val="pl-PL" w:eastAsia="en-US"/>
        </w:rPr>
        <w:t>X</w:t>
      </w:r>
      <w:r>
        <w:rPr>
          <w:iCs/>
          <w:sz w:val="24"/>
          <w:szCs w:val="24"/>
          <w:lang w:val="en-GB" w:eastAsia="en-US"/>
        </w:rPr>
        <w:t>xxxxxxxxxxxxx.</w:t>
      </w:r>
    </w:p>
    <w:p w14:paraId="2FF738B3">
      <w:pPr>
        <w:tabs>
          <w:tab w:val="left" w:pos="1134"/>
        </w:tabs>
        <w:spacing w:line="360" w:lineRule="auto"/>
        <w:jc w:val="both"/>
        <w:rPr>
          <w:rFonts w:hint="default"/>
          <w:iCs/>
          <w:sz w:val="24"/>
          <w:szCs w:val="24"/>
          <w:lang w:val="pl-PL" w:eastAsia="en-US"/>
        </w:rPr>
      </w:pPr>
      <w:r>
        <w:rPr>
          <w:b/>
          <w:sz w:val="24"/>
          <w:szCs w:val="24"/>
          <w:lang w:val="en-GB"/>
        </w:rPr>
        <w:t>Material</w:t>
      </w:r>
      <w:r>
        <w:rPr>
          <w:b/>
          <w:sz w:val="24"/>
          <w:szCs w:val="24"/>
          <w:lang w:val="uk-UA"/>
        </w:rPr>
        <w:t xml:space="preserve"> </w:t>
      </w:r>
      <w:r>
        <w:rPr>
          <w:b/>
          <w:sz w:val="24"/>
          <w:szCs w:val="24"/>
          <w:lang w:val="en-GB"/>
        </w:rPr>
        <w:t>and</w:t>
      </w:r>
      <w:r>
        <w:rPr>
          <w:b/>
          <w:sz w:val="24"/>
          <w:szCs w:val="24"/>
          <w:lang w:val="uk-UA"/>
        </w:rPr>
        <w:t xml:space="preserve"> </w:t>
      </w:r>
      <w:r>
        <w:rPr>
          <w:b/>
          <w:sz w:val="24"/>
          <w:szCs w:val="24"/>
          <w:lang w:val="en-GB"/>
        </w:rPr>
        <w:t>methods</w:t>
      </w:r>
      <w:r>
        <w:rPr>
          <w:b/>
          <w:sz w:val="24"/>
          <w:szCs w:val="24"/>
          <w:lang w:val="uk-UA"/>
        </w:rPr>
        <w:t>.</w:t>
      </w:r>
      <w:r>
        <w:rPr>
          <w:rFonts w:hint="default"/>
          <w:b/>
          <w:sz w:val="24"/>
          <w:szCs w:val="24"/>
          <w:lang w:val="pl-PL"/>
        </w:rPr>
        <w:t xml:space="preserve"> Xxxxxxxxxxxxxxxxxxxxx.</w:t>
      </w:r>
    </w:p>
    <w:p w14:paraId="4E368694">
      <w:pPr>
        <w:tabs>
          <w:tab w:val="left" w:pos="1134"/>
        </w:tabs>
        <w:spacing w:line="360" w:lineRule="auto"/>
        <w:jc w:val="both"/>
        <w:rPr>
          <w:rFonts w:hint="default"/>
          <w:iCs/>
          <w:sz w:val="24"/>
          <w:szCs w:val="24"/>
          <w:lang w:val="pl-PL" w:eastAsia="en-US"/>
        </w:rPr>
      </w:pPr>
      <w:r>
        <w:rPr>
          <w:b/>
          <w:bCs/>
          <w:iCs/>
          <w:sz w:val="24"/>
          <w:szCs w:val="24"/>
          <w:lang w:val="en-GB" w:eastAsia="en-US"/>
        </w:rPr>
        <w:t>Results</w:t>
      </w:r>
      <w:r>
        <w:rPr>
          <w:rFonts w:hint="default"/>
          <w:b/>
          <w:bCs/>
          <w:iCs/>
          <w:sz w:val="24"/>
          <w:szCs w:val="24"/>
          <w:lang w:val="pl-PL" w:eastAsia="en-US"/>
        </w:rPr>
        <w:t>.</w:t>
      </w:r>
      <w:r>
        <w:rPr>
          <w:rFonts w:hint="default"/>
          <w:iCs/>
          <w:sz w:val="24"/>
          <w:szCs w:val="24"/>
          <w:lang w:val="pl-PL" w:eastAsia="en-US"/>
        </w:rPr>
        <w:t xml:space="preserve"> Xxxxxxxxxxxxxxxx.</w:t>
      </w:r>
    </w:p>
    <w:p w14:paraId="7FA11DEE">
      <w:pPr>
        <w:tabs>
          <w:tab w:val="left" w:pos="1134"/>
        </w:tabs>
        <w:spacing w:line="360" w:lineRule="auto"/>
        <w:jc w:val="both"/>
        <w:rPr>
          <w:iCs/>
          <w:sz w:val="24"/>
          <w:szCs w:val="24"/>
          <w:lang w:val="en-GB" w:eastAsia="en-US"/>
        </w:rPr>
      </w:pPr>
      <w:r>
        <w:rPr>
          <w:rFonts w:hint="default"/>
          <w:b/>
          <w:bCs/>
          <w:iCs/>
          <w:sz w:val="24"/>
          <w:szCs w:val="24"/>
          <w:lang w:val="pl-PL" w:eastAsia="en-US"/>
        </w:rPr>
        <w:t>C</w:t>
      </w:r>
      <w:r>
        <w:rPr>
          <w:b/>
          <w:bCs/>
          <w:iCs/>
          <w:sz w:val="24"/>
          <w:szCs w:val="24"/>
          <w:lang w:val="en-GB" w:eastAsia="en-US"/>
        </w:rPr>
        <w:t>onclusions.</w:t>
      </w:r>
      <w:r>
        <w:rPr>
          <w:iCs/>
          <w:sz w:val="24"/>
          <w:szCs w:val="24"/>
          <w:lang w:val="en-GB" w:eastAsia="en-US"/>
        </w:rPr>
        <w:t xml:space="preserve"> </w:t>
      </w:r>
      <w:r>
        <w:rPr>
          <w:rFonts w:hint="default"/>
          <w:iCs/>
          <w:sz w:val="24"/>
          <w:szCs w:val="24"/>
          <w:lang w:val="pl-PL" w:eastAsia="en-US"/>
        </w:rPr>
        <w:t>X</w:t>
      </w:r>
      <w:r>
        <w:rPr>
          <w:iCs/>
          <w:sz w:val="24"/>
          <w:szCs w:val="24"/>
          <w:lang w:val="en-GB" w:eastAsia="en-US"/>
        </w:rPr>
        <w:t>xxxxxxxxxxxxxxxxx.</w:t>
      </w:r>
    </w:p>
    <w:p w14:paraId="7B63A564">
      <w:pPr>
        <w:spacing w:line="360" w:lineRule="auto"/>
        <w:jc w:val="both"/>
        <w:rPr>
          <w:b/>
          <w:bCs/>
          <w:sz w:val="24"/>
          <w:szCs w:val="24"/>
          <w:lang w:val="en-GB" w:eastAsia="en-US"/>
        </w:rPr>
      </w:pPr>
    </w:p>
    <w:p w14:paraId="084FFA91">
      <w:pPr>
        <w:tabs>
          <w:tab w:val="left" w:pos="1134"/>
        </w:tabs>
        <w:spacing w:line="360" w:lineRule="auto"/>
        <w:jc w:val="both"/>
        <w:rPr>
          <w:b/>
          <w:bCs/>
          <w:sz w:val="24"/>
          <w:szCs w:val="24"/>
          <w:lang w:val="en-GB" w:eastAsia="en-US"/>
        </w:rPr>
      </w:pPr>
      <w:r>
        <w:rPr>
          <w:b/>
          <w:bCs/>
          <w:sz w:val="24"/>
          <w:szCs w:val="24"/>
          <w:lang w:val="en-GB" w:eastAsia="en-US"/>
        </w:rPr>
        <w:t xml:space="preserve">Key words: </w:t>
      </w:r>
      <w:r>
        <w:rPr>
          <w:sz w:val="24"/>
          <w:szCs w:val="24"/>
          <w:lang w:val="en-GB" w:eastAsia="en-US"/>
        </w:rPr>
        <w:t>xxxxx, xxxxxxx, xxxxxxxxxxx.</w:t>
      </w:r>
    </w:p>
    <w:p w14:paraId="5B2D7D6E">
      <w:pPr>
        <w:spacing w:line="360" w:lineRule="auto"/>
        <w:rPr>
          <w:b/>
          <w:bCs/>
          <w:sz w:val="24"/>
          <w:szCs w:val="24"/>
          <w:lang w:val="en-GB" w:eastAsia="en-US"/>
        </w:rPr>
      </w:pPr>
    </w:p>
    <w:p w14:paraId="32D5A7BA">
      <w:pPr>
        <w:spacing w:line="360" w:lineRule="auto"/>
        <w:rPr>
          <w:b/>
          <w:bCs/>
          <w:sz w:val="24"/>
          <w:szCs w:val="24"/>
          <w:lang w:val="en-GB" w:eastAsia="en-US"/>
        </w:rPr>
      </w:pPr>
    </w:p>
    <w:p w14:paraId="62B8B173">
      <w:pPr>
        <w:spacing w:line="360" w:lineRule="auto"/>
        <w:rPr>
          <w:b/>
          <w:bCs/>
          <w:sz w:val="24"/>
          <w:szCs w:val="24"/>
          <w:lang w:val="en-GB" w:eastAsia="en-US"/>
        </w:rPr>
      </w:pPr>
    </w:p>
    <w:p w14:paraId="48F23872">
      <w:pPr>
        <w:spacing w:line="360" w:lineRule="auto"/>
        <w:rPr>
          <w:b/>
          <w:bCs/>
          <w:sz w:val="24"/>
          <w:szCs w:val="24"/>
          <w:lang w:val="en-GB" w:eastAsia="en-US"/>
        </w:rPr>
      </w:pPr>
    </w:p>
    <w:p w14:paraId="56B456E3">
      <w:pPr>
        <w:spacing w:line="360" w:lineRule="auto"/>
        <w:rPr>
          <w:b/>
          <w:bCs/>
          <w:sz w:val="24"/>
          <w:szCs w:val="24"/>
          <w:lang w:val="en-GB" w:eastAsia="en-US"/>
        </w:rPr>
      </w:pPr>
    </w:p>
    <w:p w14:paraId="73C6DEEC">
      <w:pPr>
        <w:spacing w:line="360" w:lineRule="auto"/>
        <w:rPr>
          <w:b/>
          <w:bCs/>
          <w:sz w:val="24"/>
          <w:szCs w:val="24"/>
          <w:lang w:val="en-GB" w:eastAsia="en-US"/>
        </w:rPr>
      </w:pPr>
      <w:r>
        <w:rPr>
          <w:b/>
          <w:bCs/>
          <w:sz w:val="24"/>
          <w:szCs w:val="24"/>
          <w:lang w:val="en-GB" w:eastAsia="en-US"/>
        </w:rPr>
        <w:t>Content</w:t>
      </w:r>
    </w:p>
    <w:sdt>
      <w:sdtPr>
        <w:rPr>
          <w:rFonts w:ascii="SimSun" w:hAnsi="SimSun" w:eastAsia="SimSun" w:cs="Times New Roman"/>
          <w:sz w:val="21"/>
          <w:szCs w:val="20"/>
          <w:lang w:val="de-DE" w:eastAsia="de-DE" w:bidi="ar-SA"/>
        </w:rPr>
        <w:id w:val="147456888"/>
        <w15:color w:val="DBDBDB"/>
        <w:docPartObj>
          <w:docPartGallery w:val="Table of Contents"/>
          <w:docPartUnique/>
        </w:docPartObj>
      </w:sdtPr>
      <w:sdtEndPr>
        <w:rPr>
          <w:rFonts w:ascii="Times New Roman" w:hAnsi="Times New Roman" w:eastAsia="Times New Roman" w:cs="Times New Roman"/>
          <w:bCs/>
          <w:sz w:val="20"/>
          <w:szCs w:val="24"/>
          <w:lang w:val="en-GB" w:eastAsia="en-US" w:bidi="ar-SA"/>
        </w:rPr>
      </w:sdtEndPr>
      <w:sdtContent>
        <w:p w14:paraId="3FB027B3">
          <w:pPr>
            <w:spacing w:before="0" w:beforeLines="0" w:after="0" w:afterLines="0" w:line="240" w:lineRule="auto"/>
            <w:ind w:left="0" w:leftChars="0" w:right="0" w:rightChars="0" w:firstLine="0" w:firstLineChars="0"/>
            <w:jc w:val="center"/>
          </w:pPr>
        </w:p>
        <w:p w14:paraId="5CD2D819">
          <w:pPr>
            <w:pStyle w:val="24"/>
            <w:tabs>
              <w:tab w:val="right" w:leader="dot" w:pos="9072"/>
            </w:tabs>
          </w:pPr>
          <w:r>
            <w:rPr>
              <w:b/>
              <w:bCs/>
              <w:sz w:val="24"/>
              <w:szCs w:val="24"/>
              <w:lang w:val="en-GB" w:eastAsia="en-US"/>
            </w:rPr>
            <w:fldChar w:fldCharType="begin"/>
          </w:r>
          <w:r>
            <w:rPr>
              <w:b/>
              <w:bCs/>
              <w:sz w:val="24"/>
              <w:szCs w:val="24"/>
              <w:lang w:val="en-GB" w:eastAsia="en-US"/>
            </w:rPr>
            <w:instrText xml:space="preserve">TOC \o "1-3" \h \u </w:instrText>
          </w:r>
          <w:r>
            <w:rPr>
              <w:b/>
              <w:bCs/>
              <w:sz w:val="24"/>
              <w:szCs w:val="24"/>
              <w:lang w:val="en-GB" w:eastAsia="en-US"/>
            </w:rPr>
            <w:fldChar w:fldCharType="separate"/>
          </w:r>
          <w:r>
            <w:rPr>
              <w:bCs/>
              <w:szCs w:val="24"/>
              <w:lang w:val="en-GB" w:eastAsia="en-US"/>
            </w:rPr>
            <w:fldChar w:fldCharType="begin"/>
          </w:r>
          <w:r>
            <w:rPr>
              <w:bCs/>
              <w:szCs w:val="24"/>
              <w:lang w:val="en-GB" w:eastAsia="en-US"/>
            </w:rPr>
            <w:instrText xml:space="preserve"> HYPERLINK \l _Toc28725 </w:instrText>
          </w:r>
          <w:r>
            <w:rPr>
              <w:bCs/>
              <w:szCs w:val="24"/>
              <w:lang w:val="en-GB" w:eastAsia="en-US"/>
            </w:rPr>
            <w:fldChar w:fldCharType="separate"/>
          </w:r>
          <w:r>
            <w:rPr>
              <w:bCs/>
              <w:szCs w:val="24"/>
              <w:lang w:val="en-GB" w:eastAsia="en-US"/>
            </w:rPr>
            <w:t>1. Introduction</w:t>
          </w:r>
          <w:r>
            <w:tab/>
          </w:r>
          <w:r>
            <w:fldChar w:fldCharType="begin"/>
          </w:r>
          <w:r>
            <w:instrText xml:space="preserve"> PAGEREF _Toc28725 \h </w:instrText>
          </w:r>
          <w:r>
            <w:fldChar w:fldCharType="separate"/>
          </w:r>
          <w:r>
            <w:t>3</w:t>
          </w:r>
          <w:r>
            <w:fldChar w:fldCharType="end"/>
          </w:r>
          <w:r>
            <w:rPr>
              <w:bCs/>
              <w:szCs w:val="24"/>
              <w:lang w:val="en-GB" w:eastAsia="en-US"/>
            </w:rPr>
            <w:fldChar w:fldCharType="end"/>
          </w:r>
        </w:p>
        <w:p w14:paraId="19DD543E">
          <w:pPr>
            <w:pStyle w:val="24"/>
            <w:tabs>
              <w:tab w:val="right" w:leader="dot" w:pos="9072"/>
            </w:tabs>
          </w:pPr>
          <w:r>
            <w:rPr>
              <w:bCs/>
              <w:szCs w:val="24"/>
              <w:lang w:val="en-GB" w:eastAsia="en-US"/>
            </w:rPr>
            <w:fldChar w:fldCharType="begin"/>
          </w:r>
          <w:r>
            <w:rPr>
              <w:bCs/>
              <w:szCs w:val="24"/>
              <w:lang w:val="en-GB" w:eastAsia="en-US"/>
            </w:rPr>
            <w:instrText xml:space="preserve"> HYPERLINK \l _Toc20549 </w:instrText>
          </w:r>
          <w:r>
            <w:rPr>
              <w:bCs/>
              <w:szCs w:val="24"/>
              <w:lang w:val="en-GB" w:eastAsia="en-US"/>
            </w:rPr>
            <w:fldChar w:fldCharType="separate"/>
          </w:r>
          <w:r>
            <w:rPr>
              <w:bCs/>
              <w:szCs w:val="24"/>
              <w:lang w:val="en-GB" w:eastAsia="pl-PL"/>
            </w:rPr>
            <w:t>2. Research materials and methods</w:t>
          </w:r>
          <w:r>
            <w:tab/>
          </w:r>
          <w:r>
            <w:fldChar w:fldCharType="begin"/>
          </w:r>
          <w:r>
            <w:instrText xml:space="preserve"> PAGEREF _Toc20549 \h </w:instrText>
          </w:r>
          <w:r>
            <w:fldChar w:fldCharType="separate"/>
          </w:r>
          <w:r>
            <w:t>3</w:t>
          </w:r>
          <w:r>
            <w:fldChar w:fldCharType="end"/>
          </w:r>
          <w:r>
            <w:rPr>
              <w:bCs/>
              <w:szCs w:val="24"/>
              <w:lang w:val="en-GB" w:eastAsia="en-US"/>
            </w:rPr>
            <w:fldChar w:fldCharType="end"/>
          </w:r>
        </w:p>
        <w:p w14:paraId="57DF4212">
          <w:pPr>
            <w:pStyle w:val="25"/>
            <w:tabs>
              <w:tab w:val="right" w:leader="dot" w:pos="9072"/>
            </w:tabs>
          </w:pPr>
          <w:r>
            <w:rPr>
              <w:bCs/>
              <w:szCs w:val="24"/>
              <w:lang w:val="en-GB" w:eastAsia="en-US"/>
            </w:rPr>
            <w:fldChar w:fldCharType="begin"/>
          </w:r>
          <w:r>
            <w:rPr>
              <w:bCs/>
              <w:szCs w:val="24"/>
              <w:lang w:val="en-GB" w:eastAsia="en-US"/>
            </w:rPr>
            <w:instrText xml:space="preserve"> HYPERLINK \l _Toc28670 </w:instrText>
          </w:r>
          <w:r>
            <w:rPr>
              <w:bCs/>
              <w:szCs w:val="24"/>
              <w:lang w:val="en-GB" w:eastAsia="en-US"/>
            </w:rPr>
            <w:fldChar w:fldCharType="separate"/>
          </w:r>
          <w:r>
            <w:rPr>
              <w:rFonts w:hint="default"/>
              <w:bCs/>
              <w:szCs w:val="24"/>
              <w:lang w:val="en-US" w:eastAsia="pl-PL"/>
            </w:rPr>
            <w:t>2.1. Participants.</w:t>
          </w:r>
          <w:r>
            <w:tab/>
          </w:r>
          <w:r>
            <w:fldChar w:fldCharType="begin"/>
          </w:r>
          <w:r>
            <w:instrText xml:space="preserve"> PAGEREF _Toc28670 \h </w:instrText>
          </w:r>
          <w:r>
            <w:fldChar w:fldCharType="separate"/>
          </w:r>
          <w:r>
            <w:t>3</w:t>
          </w:r>
          <w:r>
            <w:fldChar w:fldCharType="end"/>
          </w:r>
          <w:r>
            <w:rPr>
              <w:bCs/>
              <w:szCs w:val="24"/>
              <w:lang w:val="en-GB" w:eastAsia="en-US"/>
            </w:rPr>
            <w:fldChar w:fldCharType="end"/>
          </w:r>
        </w:p>
        <w:p w14:paraId="1C7E1758">
          <w:pPr>
            <w:pStyle w:val="25"/>
            <w:tabs>
              <w:tab w:val="right" w:leader="dot" w:pos="9072"/>
            </w:tabs>
          </w:pPr>
          <w:r>
            <w:rPr>
              <w:bCs/>
              <w:szCs w:val="24"/>
              <w:lang w:val="en-GB" w:eastAsia="en-US"/>
            </w:rPr>
            <w:fldChar w:fldCharType="begin"/>
          </w:r>
          <w:r>
            <w:rPr>
              <w:bCs/>
              <w:szCs w:val="24"/>
              <w:lang w:val="en-GB" w:eastAsia="en-US"/>
            </w:rPr>
            <w:instrText xml:space="preserve"> HYPERLINK \l _Toc27010 </w:instrText>
          </w:r>
          <w:r>
            <w:rPr>
              <w:bCs/>
              <w:szCs w:val="24"/>
              <w:lang w:val="en-GB" w:eastAsia="en-US"/>
            </w:rPr>
            <w:fldChar w:fldCharType="separate"/>
          </w:r>
          <w:r>
            <w:rPr>
              <w:rFonts w:hint="default"/>
              <w:bCs/>
              <w:szCs w:val="24"/>
              <w:lang w:val="en-US" w:eastAsia="pl-PL"/>
            </w:rPr>
            <w:t>2.2. Procedure / Test protocol / Skill test trial / Measure / Instruments.</w:t>
          </w:r>
          <w:r>
            <w:tab/>
          </w:r>
          <w:r>
            <w:fldChar w:fldCharType="begin"/>
          </w:r>
          <w:r>
            <w:instrText xml:space="preserve"> PAGEREF _Toc27010 \h </w:instrText>
          </w:r>
          <w:r>
            <w:fldChar w:fldCharType="separate"/>
          </w:r>
          <w:r>
            <w:t>3</w:t>
          </w:r>
          <w:r>
            <w:fldChar w:fldCharType="end"/>
          </w:r>
          <w:r>
            <w:rPr>
              <w:bCs/>
              <w:szCs w:val="24"/>
              <w:lang w:val="en-GB" w:eastAsia="en-US"/>
            </w:rPr>
            <w:fldChar w:fldCharType="end"/>
          </w:r>
        </w:p>
        <w:p w14:paraId="447967D2">
          <w:pPr>
            <w:pStyle w:val="25"/>
            <w:tabs>
              <w:tab w:val="right" w:leader="dot" w:pos="9072"/>
            </w:tabs>
          </w:pPr>
          <w:r>
            <w:rPr>
              <w:bCs/>
              <w:szCs w:val="24"/>
              <w:lang w:val="en-GB" w:eastAsia="en-US"/>
            </w:rPr>
            <w:fldChar w:fldCharType="begin"/>
          </w:r>
          <w:r>
            <w:rPr>
              <w:bCs/>
              <w:szCs w:val="24"/>
              <w:lang w:val="en-GB" w:eastAsia="en-US"/>
            </w:rPr>
            <w:instrText xml:space="preserve"> HYPERLINK \l _Toc27036 </w:instrText>
          </w:r>
          <w:r>
            <w:rPr>
              <w:bCs/>
              <w:szCs w:val="24"/>
              <w:lang w:val="en-GB" w:eastAsia="en-US"/>
            </w:rPr>
            <w:fldChar w:fldCharType="separate"/>
          </w:r>
          <w:r>
            <w:rPr>
              <w:rFonts w:hint="default"/>
              <w:bCs/>
              <w:szCs w:val="24"/>
              <w:lang w:val="en-US" w:eastAsia="pl-PL"/>
            </w:rPr>
            <w:t>2.3. Data collection and analysis / Statistical analysis.</w:t>
          </w:r>
          <w:r>
            <w:tab/>
          </w:r>
          <w:r>
            <w:fldChar w:fldCharType="begin"/>
          </w:r>
          <w:r>
            <w:instrText xml:space="preserve"> PAGEREF _Toc27036 \h </w:instrText>
          </w:r>
          <w:r>
            <w:fldChar w:fldCharType="separate"/>
          </w:r>
          <w:r>
            <w:t>3</w:t>
          </w:r>
          <w:r>
            <w:fldChar w:fldCharType="end"/>
          </w:r>
          <w:r>
            <w:rPr>
              <w:bCs/>
              <w:szCs w:val="24"/>
              <w:lang w:val="en-GB" w:eastAsia="en-US"/>
            </w:rPr>
            <w:fldChar w:fldCharType="end"/>
          </w:r>
        </w:p>
        <w:p w14:paraId="113B6AEE">
          <w:pPr>
            <w:pStyle w:val="26"/>
            <w:tabs>
              <w:tab w:val="right" w:leader="dot" w:pos="9072"/>
            </w:tabs>
          </w:pPr>
          <w:r>
            <w:rPr>
              <w:bCs/>
              <w:szCs w:val="24"/>
              <w:lang w:val="en-GB" w:eastAsia="en-US"/>
            </w:rPr>
            <w:fldChar w:fldCharType="begin"/>
          </w:r>
          <w:r>
            <w:rPr>
              <w:bCs/>
              <w:szCs w:val="24"/>
              <w:lang w:val="en-GB" w:eastAsia="en-US"/>
            </w:rPr>
            <w:instrText xml:space="preserve"> HYPERLINK \l _Toc32588 </w:instrText>
          </w:r>
          <w:r>
            <w:rPr>
              <w:bCs/>
              <w:szCs w:val="24"/>
              <w:lang w:val="en-GB" w:eastAsia="en-US"/>
            </w:rPr>
            <w:fldChar w:fldCharType="separate"/>
          </w:r>
          <w:r>
            <w:rPr>
              <w:rFonts w:hint="default" w:ascii="Times New Roman" w:hAnsi="Times New Roman" w:cs="Times New Roman"/>
              <w:bCs/>
              <w:szCs w:val="24"/>
              <w:lang w:val="pl-PL"/>
            </w:rPr>
            <w:t>2.3.1.</w:t>
          </w:r>
          <w:r>
            <w:rPr>
              <w:rFonts w:hint="default" w:cs="Times New Roman"/>
              <w:bCs/>
              <w:szCs w:val="24"/>
              <w:lang w:val="pl-PL"/>
            </w:rPr>
            <w:t xml:space="preserve"> </w:t>
          </w:r>
          <w:r>
            <w:rPr>
              <w:rFonts w:hint="default" w:ascii="Times New Roman" w:hAnsi="Times New Roman" w:cs="Times New Roman"/>
              <w:bCs/>
              <w:szCs w:val="24"/>
              <w:lang w:val="pl-PL"/>
            </w:rPr>
            <w:t>Statistical Software.</w:t>
          </w:r>
          <w:r>
            <w:tab/>
          </w:r>
          <w:r>
            <w:fldChar w:fldCharType="begin"/>
          </w:r>
          <w:r>
            <w:instrText xml:space="preserve"> PAGEREF _Toc32588 \h </w:instrText>
          </w:r>
          <w:r>
            <w:fldChar w:fldCharType="separate"/>
          </w:r>
          <w:r>
            <w:t>3</w:t>
          </w:r>
          <w:r>
            <w:fldChar w:fldCharType="end"/>
          </w:r>
          <w:r>
            <w:rPr>
              <w:bCs/>
              <w:szCs w:val="24"/>
              <w:lang w:val="en-GB" w:eastAsia="en-US"/>
            </w:rPr>
            <w:fldChar w:fldCharType="end"/>
          </w:r>
        </w:p>
        <w:p w14:paraId="5C0CE05E">
          <w:pPr>
            <w:pStyle w:val="26"/>
            <w:tabs>
              <w:tab w:val="right" w:leader="dot" w:pos="9072"/>
            </w:tabs>
          </w:pPr>
          <w:r>
            <w:rPr>
              <w:bCs/>
              <w:szCs w:val="24"/>
              <w:lang w:val="en-GB" w:eastAsia="en-US"/>
            </w:rPr>
            <w:fldChar w:fldCharType="begin"/>
          </w:r>
          <w:r>
            <w:rPr>
              <w:bCs/>
              <w:szCs w:val="24"/>
              <w:lang w:val="en-GB" w:eastAsia="en-US"/>
            </w:rPr>
            <w:instrText xml:space="preserve"> HYPERLINK \l _Toc10357 </w:instrText>
          </w:r>
          <w:r>
            <w:rPr>
              <w:bCs/>
              <w:szCs w:val="24"/>
              <w:lang w:val="en-GB" w:eastAsia="en-US"/>
            </w:rPr>
            <w:fldChar w:fldCharType="separate"/>
          </w:r>
          <w:r>
            <w:rPr>
              <w:rFonts w:hint="default"/>
              <w:bCs/>
              <w:szCs w:val="24"/>
              <w:lang w:val="en-US" w:eastAsia="pl-PL"/>
            </w:rPr>
            <w:t>2.3.2. AI.</w:t>
          </w:r>
          <w:r>
            <w:tab/>
          </w:r>
          <w:r>
            <w:fldChar w:fldCharType="begin"/>
          </w:r>
          <w:r>
            <w:instrText xml:space="preserve"> PAGEREF _Toc10357 \h </w:instrText>
          </w:r>
          <w:r>
            <w:fldChar w:fldCharType="separate"/>
          </w:r>
          <w:r>
            <w:t>4</w:t>
          </w:r>
          <w:r>
            <w:fldChar w:fldCharType="end"/>
          </w:r>
          <w:r>
            <w:rPr>
              <w:bCs/>
              <w:szCs w:val="24"/>
              <w:lang w:val="en-GB" w:eastAsia="en-US"/>
            </w:rPr>
            <w:fldChar w:fldCharType="end"/>
          </w:r>
        </w:p>
        <w:p w14:paraId="2203D98C">
          <w:pPr>
            <w:pStyle w:val="26"/>
            <w:tabs>
              <w:tab w:val="right" w:leader="dot" w:pos="9072"/>
            </w:tabs>
          </w:pPr>
          <w:r>
            <w:rPr>
              <w:bCs/>
              <w:szCs w:val="24"/>
              <w:lang w:val="en-GB" w:eastAsia="en-US"/>
            </w:rPr>
            <w:fldChar w:fldCharType="begin"/>
          </w:r>
          <w:r>
            <w:rPr>
              <w:bCs/>
              <w:szCs w:val="24"/>
              <w:lang w:val="en-GB" w:eastAsia="en-US"/>
            </w:rPr>
            <w:instrText xml:space="preserve"> HYPERLINK \l _Toc10689 </w:instrText>
          </w:r>
          <w:r>
            <w:rPr>
              <w:bCs/>
              <w:szCs w:val="24"/>
              <w:lang w:val="en-GB" w:eastAsia="en-US"/>
            </w:rPr>
            <w:fldChar w:fldCharType="separate"/>
          </w:r>
          <w:r>
            <w:rPr>
              <w:rFonts w:hint="default"/>
              <w:bCs/>
              <w:szCs w:val="24"/>
              <w:lang w:val="en-US" w:eastAsia="pl-PL"/>
            </w:rPr>
            <w:t xml:space="preserve">2.3.3. </w:t>
          </w:r>
          <w:r>
            <w:rPr>
              <w:rFonts w:hint="default"/>
              <w:bCs/>
              <w:szCs w:val="24"/>
              <w:lang w:val="en-US"/>
            </w:rPr>
            <w:t>Statistical Methods</w:t>
          </w:r>
          <w:r>
            <w:rPr>
              <w:rFonts w:hint="default"/>
              <w:bCs/>
              <w:szCs w:val="24"/>
              <w:lang w:val="pl-PL"/>
            </w:rPr>
            <w:t>.</w:t>
          </w:r>
          <w:r>
            <w:tab/>
          </w:r>
          <w:r>
            <w:fldChar w:fldCharType="begin"/>
          </w:r>
          <w:r>
            <w:instrText xml:space="preserve"> PAGEREF _Toc10689 \h </w:instrText>
          </w:r>
          <w:r>
            <w:fldChar w:fldCharType="separate"/>
          </w:r>
          <w:r>
            <w:t>4</w:t>
          </w:r>
          <w:r>
            <w:fldChar w:fldCharType="end"/>
          </w:r>
          <w:r>
            <w:rPr>
              <w:bCs/>
              <w:szCs w:val="24"/>
              <w:lang w:val="en-GB" w:eastAsia="en-US"/>
            </w:rPr>
            <w:fldChar w:fldCharType="end"/>
          </w:r>
        </w:p>
        <w:p w14:paraId="7F883CE4">
          <w:pPr>
            <w:pStyle w:val="24"/>
            <w:tabs>
              <w:tab w:val="right" w:leader="dot" w:pos="9072"/>
            </w:tabs>
          </w:pPr>
          <w:r>
            <w:rPr>
              <w:bCs/>
              <w:szCs w:val="24"/>
              <w:lang w:val="en-GB" w:eastAsia="en-US"/>
            </w:rPr>
            <w:fldChar w:fldCharType="begin"/>
          </w:r>
          <w:r>
            <w:rPr>
              <w:bCs/>
              <w:szCs w:val="24"/>
              <w:lang w:val="en-GB" w:eastAsia="en-US"/>
            </w:rPr>
            <w:instrText xml:space="preserve"> HYPERLINK \l _Toc15671 </w:instrText>
          </w:r>
          <w:r>
            <w:rPr>
              <w:bCs/>
              <w:szCs w:val="24"/>
              <w:lang w:val="en-GB" w:eastAsia="en-US"/>
            </w:rPr>
            <w:fldChar w:fldCharType="separate"/>
          </w:r>
          <w:r>
            <w:rPr>
              <w:bCs/>
              <w:szCs w:val="24"/>
              <w:lang w:val="en-GB" w:eastAsia="pl-PL"/>
            </w:rPr>
            <w:t>3. Research results</w:t>
          </w:r>
          <w:r>
            <w:tab/>
          </w:r>
          <w:r>
            <w:fldChar w:fldCharType="begin"/>
          </w:r>
          <w:r>
            <w:instrText xml:space="preserve"> PAGEREF _Toc15671 \h </w:instrText>
          </w:r>
          <w:r>
            <w:fldChar w:fldCharType="separate"/>
          </w:r>
          <w:r>
            <w:t>4</w:t>
          </w:r>
          <w:r>
            <w:fldChar w:fldCharType="end"/>
          </w:r>
          <w:r>
            <w:rPr>
              <w:bCs/>
              <w:szCs w:val="24"/>
              <w:lang w:val="en-GB" w:eastAsia="en-US"/>
            </w:rPr>
            <w:fldChar w:fldCharType="end"/>
          </w:r>
        </w:p>
        <w:p w14:paraId="46C3E253">
          <w:pPr>
            <w:pStyle w:val="25"/>
            <w:tabs>
              <w:tab w:val="right" w:leader="dot" w:pos="9072"/>
            </w:tabs>
          </w:pPr>
          <w:r>
            <w:rPr>
              <w:bCs/>
              <w:szCs w:val="24"/>
              <w:lang w:val="en-GB" w:eastAsia="en-US"/>
            </w:rPr>
            <w:fldChar w:fldCharType="begin"/>
          </w:r>
          <w:r>
            <w:rPr>
              <w:bCs/>
              <w:szCs w:val="24"/>
              <w:lang w:val="en-GB" w:eastAsia="en-US"/>
            </w:rPr>
            <w:instrText xml:space="preserve"> HYPERLINK \l _Toc21434 </w:instrText>
          </w:r>
          <w:r>
            <w:rPr>
              <w:bCs/>
              <w:szCs w:val="24"/>
              <w:lang w:val="en-GB" w:eastAsia="en-US"/>
            </w:rPr>
            <w:fldChar w:fldCharType="separate"/>
          </w:r>
          <w:r>
            <w:rPr>
              <w:bCs/>
              <w:szCs w:val="24"/>
              <w:lang w:val="en-GB" w:eastAsia="pl-PL"/>
            </w:rPr>
            <w:t>3.1. Xxxxxx</w:t>
          </w:r>
          <w:r>
            <w:tab/>
          </w:r>
          <w:r>
            <w:fldChar w:fldCharType="begin"/>
          </w:r>
          <w:r>
            <w:instrText xml:space="preserve"> PAGEREF _Toc21434 \h </w:instrText>
          </w:r>
          <w:r>
            <w:fldChar w:fldCharType="separate"/>
          </w:r>
          <w:r>
            <w:t>4</w:t>
          </w:r>
          <w:r>
            <w:fldChar w:fldCharType="end"/>
          </w:r>
          <w:r>
            <w:rPr>
              <w:bCs/>
              <w:szCs w:val="24"/>
              <w:lang w:val="en-GB" w:eastAsia="en-US"/>
            </w:rPr>
            <w:fldChar w:fldCharType="end"/>
          </w:r>
        </w:p>
        <w:p w14:paraId="0BCEEE93">
          <w:pPr>
            <w:pStyle w:val="25"/>
            <w:tabs>
              <w:tab w:val="right" w:leader="dot" w:pos="9072"/>
            </w:tabs>
          </w:pPr>
          <w:r>
            <w:rPr>
              <w:bCs/>
              <w:szCs w:val="24"/>
              <w:lang w:val="en-GB" w:eastAsia="en-US"/>
            </w:rPr>
            <w:fldChar w:fldCharType="begin"/>
          </w:r>
          <w:r>
            <w:rPr>
              <w:bCs/>
              <w:szCs w:val="24"/>
              <w:lang w:val="en-GB" w:eastAsia="en-US"/>
            </w:rPr>
            <w:instrText xml:space="preserve"> HYPERLINK \l _Toc6321 </w:instrText>
          </w:r>
          <w:r>
            <w:rPr>
              <w:bCs/>
              <w:szCs w:val="24"/>
              <w:lang w:val="en-GB" w:eastAsia="en-US"/>
            </w:rPr>
            <w:fldChar w:fldCharType="separate"/>
          </w:r>
          <w:r>
            <w:rPr>
              <w:bCs/>
              <w:szCs w:val="24"/>
              <w:lang w:val="en-GB" w:eastAsia="pl-PL"/>
            </w:rPr>
            <w:t>3.2. Xxxxxxx</w:t>
          </w:r>
          <w:r>
            <w:tab/>
          </w:r>
          <w:r>
            <w:fldChar w:fldCharType="begin"/>
          </w:r>
          <w:r>
            <w:instrText xml:space="preserve"> PAGEREF _Toc6321 \h </w:instrText>
          </w:r>
          <w:r>
            <w:fldChar w:fldCharType="separate"/>
          </w:r>
          <w:r>
            <w:t>5</w:t>
          </w:r>
          <w:r>
            <w:fldChar w:fldCharType="end"/>
          </w:r>
          <w:r>
            <w:rPr>
              <w:bCs/>
              <w:szCs w:val="24"/>
              <w:lang w:val="en-GB" w:eastAsia="en-US"/>
            </w:rPr>
            <w:fldChar w:fldCharType="end"/>
          </w:r>
        </w:p>
        <w:p w14:paraId="5C899EE2">
          <w:pPr>
            <w:pStyle w:val="25"/>
            <w:tabs>
              <w:tab w:val="right" w:leader="dot" w:pos="9072"/>
            </w:tabs>
          </w:pPr>
          <w:r>
            <w:rPr>
              <w:bCs/>
              <w:szCs w:val="24"/>
              <w:lang w:val="en-GB" w:eastAsia="en-US"/>
            </w:rPr>
            <w:fldChar w:fldCharType="begin"/>
          </w:r>
          <w:r>
            <w:rPr>
              <w:bCs/>
              <w:szCs w:val="24"/>
              <w:lang w:val="en-GB" w:eastAsia="en-US"/>
            </w:rPr>
            <w:instrText xml:space="preserve"> HYPERLINK \l _Toc32440 </w:instrText>
          </w:r>
          <w:r>
            <w:rPr>
              <w:bCs/>
              <w:szCs w:val="24"/>
              <w:lang w:val="en-GB" w:eastAsia="en-US"/>
            </w:rPr>
            <w:fldChar w:fldCharType="separate"/>
          </w:r>
          <w:r>
            <w:rPr>
              <w:bCs/>
              <w:szCs w:val="24"/>
              <w:lang w:val="en-GB" w:eastAsia="pl-PL"/>
            </w:rPr>
            <w:t>3.3. Xxxxx</w:t>
          </w:r>
          <w:r>
            <w:tab/>
          </w:r>
          <w:r>
            <w:fldChar w:fldCharType="begin"/>
          </w:r>
          <w:r>
            <w:instrText xml:space="preserve"> PAGEREF _Toc32440 \h </w:instrText>
          </w:r>
          <w:r>
            <w:fldChar w:fldCharType="separate"/>
          </w:r>
          <w:r>
            <w:t>5</w:t>
          </w:r>
          <w:r>
            <w:fldChar w:fldCharType="end"/>
          </w:r>
          <w:r>
            <w:rPr>
              <w:bCs/>
              <w:szCs w:val="24"/>
              <w:lang w:val="en-GB" w:eastAsia="en-US"/>
            </w:rPr>
            <w:fldChar w:fldCharType="end"/>
          </w:r>
        </w:p>
        <w:p w14:paraId="506E4883">
          <w:pPr>
            <w:pStyle w:val="24"/>
            <w:tabs>
              <w:tab w:val="right" w:leader="dot" w:pos="9072"/>
            </w:tabs>
          </w:pPr>
          <w:r>
            <w:rPr>
              <w:bCs/>
              <w:szCs w:val="24"/>
              <w:lang w:val="en-GB" w:eastAsia="en-US"/>
            </w:rPr>
            <w:fldChar w:fldCharType="begin"/>
          </w:r>
          <w:r>
            <w:rPr>
              <w:bCs/>
              <w:szCs w:val="24"/>
              <w:lang w:val="en-GB" w:eastAsia="en-US"/>
            </w:rPr>
            <w:instrText xml:space="preserve"> HYPERLINK \l _Toc652 </w:instrText>
          </w:r>
          <w:r>
            <w:rPr>
              <w:bCs/>
              <w:szCs w:val="24"/>
              <w:lang w:val="en-GB" w:eastAsia="en-US"/>
            </w:rPr>
            <w:fldChar w:fldCharType="separate"/>
          </w:r>
          <w:r>
            <w:rPr>
              <w:bCs/>
              <w:szCs w:val="24"/>
              <w:lang w:val="en-GB" w:eastAsia="pl-PL"/>
            </w:rPr>
            <w:t>4. Discussion</w:t>
          </w:r>
          <w:r>
            <w:tab/>
          </w:r>
          <w:r>
            <w:fldChar w:fldCharType="begin"/>
          </w:r>
          <w:r>
            <w:instrText xml:space="preserve"> PAGEREF _Toc652 \h </w:instrText>
          </w:r>
          <w:r>
            <w:fldChar w:fldCharType="separate"/>
          </w:r>
          <w:r>
            <w:t>10</w:t>
          </w:r>
          <w:r>
            <w:fldChar w:fldCharType="end"/>
          </w:r>
          <w:r>
            <w:rPr>
              <w:bCs/>
              <w:szCs w:val="24"/>
              <w:lang w:val="en-GB" w:eastAsia="en-US"/>
            </w:rPr>
            <w:fldChar w:fldCharType="end"/>
          </w:r>
        </w:p>
        <w:p w14:paraId="5429DC6E">
          <w:pPr>
            <w:pStyle w:val="24"/>
            <w:tabs>
              <w:tab w:val="right" w:leader="dot" w:pos="9072"/>
            </w:tabs>
          </w:pPr>
          <w:r>
            <w:rPr>
              <w:bCs/>
              <w:szCs w:val="24"/>
              <w:lang w:val="en-GB" w:eastAsia="en-US"/>
            </w:rPr>
            <w:fldChar w:fldCharType="begin"/>
          </w:r>
          <w:r>
            <w:rPr>
              <w:bCs/>
              <w:szCs w:val="24"/>
              <w:lang w:val="en-GB" w:eastAsia="en-US"/>
            </w:rPr>
            <w:instrText xml:space="preserve"> HYPERLINK \l _Toc5960 </w:instrText>
          </w:r>
          <w:r>
            <w:rPr>
              <w:bCs/>
              <w:szCs w:val="24"/>
              <w:lang w:val="en-GB" w:eastAsia="en-US"/>
            </w:rPr>
            <w:fldChar w:fldCharType="separate"/>
          </w:r>
          <w:r>
            <w:rPr>
              <w:rFonts w:ascii="Times" w:hAnsi="Times" w:cs="Times"/>
              <w:bCs/>
              <w:szCs w:val="24"/>
              <w:lang w:val="en-GB" w:eastAsia="pl-PL"/>
            </w:rPr>
            <w:t>5. Conclusions</w:t>
          </w:r>
          <w:r>
            <w:tab/>
          </w:r>
          <w:r>
            <w:fldChar w:fldCharType="begin"/>
          </w:r>
          <w:r>
            <w:instrText xml:space="preserve"> PAGEREF _Toc5960 \h </w:instrText>
          </w:r>
          <w:r>
            <w:fldChar w:fldCharType="separate"/>
          </w:r>
          <w:r>
            <w:t>10</w:t>
          </w:r>
          <w:r>
            <w:fldChar w:fldCharType="end"/>
          </w:r>
          <w:r>
            <w:rPr>
              <w:bCs/>
              <w:szCs w:val="24"/>
              <w:lang w:val="en-GB" w:eastAsia="en-US"/>
            </w:rPr>
            <w:fldChar w:fldCharType="end"/>
          </w:r>
        </w:p>
        <w:p w14:paraId="7041B151">
          <w:pPr>
            <w:pStyle w:val="25"/>
            <w:tabs>
              <w:tab w:val="right" w:leader="dot" w:pos="9072"/>
            </w:tabs>
          </w:pPr>
          <w:r>
            <w:rPr>
              <w:bCs/>
              <w:szCs w:val="24"/>
              <w:lang w:val="en-GB" w:eastAsia="en-US"/>
            </w:rPr>
            <w:fldChar w:fldCharType="begin"/>
          </w:r>
          <w:r>
            <w:rPr>
              <w:bCs/>
              <w:szCs w:val="24"/>
              <w:lang w:val="en-GB" w:eastAsia="en-US"/>
            </w:rPr>
            <w:instrText xml:space="preserve"> HYPERLINK \l _Toc29338 </w:instrText>
          </w:r>
          <w:r>
            <w:rPr>
              <w:bCs/>
              <w:szCs w:val="24"/>
              <w:lang w:val="en-GB" w:eastAsia="en-US"/>
            </w:rPr>
            <w:fldChar w:fldCharType="separate"/>
          </w:r>
          <w:r>
            <w:rPr>
              <w:rFonts w:hint="default" w:ascii="Times" w:hAnsi="Times" w:cs="Times"/>
              <w:bCs/>
              <w:szCs w:val="24"/>
              <w:lang w:val="en-US" w:eastAsia="pl-PL"/>
            </w:rPr>
            <w:t>Disclossure</w:t>
          </w:r>
          <w:r>
            <w:tab/>
          </w:r>
          <w:r>
            <w:fldChar w:fldCharType="begin"/>
          </w:r>
          <w:r>
            <w:instrText xml:space="preserve"> PAGEREF _Toc29338 \h </w:instrText>
          </w:r>
          <w:r>
            <w:fldChar w:fldCharType="separate"/>
          </w:r>
          <w:r>
            <w:t>10</w:t>
          </w:r>
          <w:r>
            <w:fldChar w:fldCharType="end"/>
          </w:r>
          <w:r>
            <w:rPr>
              <w:bCs/>
              <w:szCs w:val="24"/>
              <w:lang w:val="en-GB" w:eastAsia="en-US"/>
            </w:rPr>
            <w:fldChar w:fldCharType="end"/>
          </w:r>
        </w:p>
        <w:p w14:paraId="24DD877B">
          <w:pPr>
            <w:pStyle w:val="26"/>
            <w:tabs>
              <w:tab w:val="right" w:leader="dot" w:pos="9072"/>
            </w:tabs>
          </w:pPr>
          <w:r>
            <w:rPr>
              <w:bCs/>
              <w:szCs w:val="24"/>
              <w:lang w:val="en-GB" w:eastAsia="en-US"/>
            </w:rPr>
            <w:fldChar w:fldCharType="begin"/>
          </w:r>
          <w:r>
            <w:rPr>
              <w:bCs/>
              <w:szCs w:val="24"/>
              <w:lang w:val="en-GB" w:eastAsia="en-US"/>
            </w:rPr>
            <w:instrText xml:space="preserve"> HYPERLINK \l _Toc25988 </w:instrText>
          </w:r>
          <w:r>
            <w:rPr>
              <w:bCs/>
              <w:szCs w:val="24"/>
              <w:lang w:val="en-GB" w:eastAsia="en-US"/>
            </w:rPr>
            <w:fldChar w:fldCharType="separate"/>
          </w:r>
          <w:r>
            <w:rPr>
              <w:rFonts w:hint="default" w:ascii="Times" w:hAnsi="Times"/>
              <w:bCs/>
              <w:szCs w:val="24"/>
              <w:lang w:val="en-GB" w:eastAsia="pl-PL"/>
            </w:rPr>
            <w:t>Supplementary Materials</w:t>
          </w:r>
          <w:r>
            <w:tab/>
          </w:r>
          <w:r>
            <w:fldChar w:fldCharType="begin"/>
          </w:r>
          <w:r>
            <w:instrText xml:space="preserve"> PAGEREF _Toc25988 \h </w:instrText>
          </w:r>
          <w:r>
            <w:fldChar w:fldCharType="separate"/>
          </w:r>
          <w:r>
            <w:t>10</w:t>
          </w:r>
          <w:r>
            <w:fldChar w:fldCharType="end"/>
          </w:r>
          <w:r>
            <w:rPr>
              <w:bCs/>
              <w:szCs w:val="24"/>
              <w:lang w:val="en-GB" w:eastAsia="en-US"/>
            </w:rPr>
            <w:fldChar w:fldCharType="end"/>
          </w:r>
        </w:p>
        <w:p w14:paraId="6F8874B9">
          <w:pPr>
            <w:pStyle w:val="26"/>
            <w:tabs>
              <w:tab w:val="right" w:leader="dot" w:pos="9072"/>
            </w:tabs>
          </w:pPr>
          <w:r>
            <w:rPr>
              <w:bCs/>
              <w:szCs w:val="24"/>
              <w:lang w:val="en-GB" w:eastAsia="en-US"/>
            </w:rPr>
            <w:fldChar w:fldCharType="begin"/>
          </w:r>
          <w:r>
            <w:rPr>
              <w:bCs/>
              <w:szCs w:val="24"/>
              <w:lang w:val="en-GB" w:eastAsia="en-US"/>
            </w:rPr>
            <w:instrText xml:space="preserve"> HYPERLINK \l _Toc18903 </w:instrText>
          </w:r>
          <w:r>
            <w:rPr>
              <w:bCs/>
              <w:szCs w:val="24"/>
              <w:lang w:val="en-GB" w:eastAsia="en-US"/>
            </w:rPr>
            <w:fldChar w:fldCharType="separate"/>
          </w:r>
          <w:r>
            <w:rPr>
              <w:rFonts w:hint="default" w:ascii="Times" w:hAnsi="Times"/>
              <w:bCs/>
              <w:szCs w:val="24"/>
              <w:lang w:val="en-GB" w:eastAsia="pl-PL"/>
            </w:rPr>
            <w:t>Author Contributions</w:t>
          </w:r>
          <w:r>
            <w:tab/>
          </w:r>
          <w:r>
            <w:fldChar w:fldCharType="begin"/>
          </w:r>
          <w:r>
            <w:instrText xml:space="preserve"> PAGEREF _Toc18903 \h </w:instrText>
          </w:r>
          <w:r>
            <w:fldChar w:fldCharType="separate"/>
          </w:r>
          <w:r>
            <w:t>10</w:t>
          </w:r>
          <w:r>
            <w:fldChar w:fldCharType="end"/>
          </w:r>
          <w:r>
            <w:rPr>
              <w:bCs/>
              <w:szCs w:val="24"/>
              <w:lang w:val="en-GB" w:eastAsia="en-US"/>
            </w:rPr>
            <w:fldChar w:fldCharType="end"/>
          </w:r>
        </w:p>
        <w:p w14:paraId="15F8D9F4">
          <w:pPr>
            <w:pStyle w:val="26"/>
            <w:tabs>
              <w:tab w:val="right" w:leader="dot" w:pos="9072"/>
            </w:tabs>
          </w:pPr>
          <w:r>
            <w:rPr>
              <w:bCs/>
              <w:szCs w:val="24"/>
              <w:lang w:val="en-GB" w:eastAsia="en-US"/>
            </w:rPr>
            <w:fldChar w:fldCharType="begin"/>
          </w:r>
          <w:r>
            <w:rPr>
              <w:bCs/>
              <w:szCs w:val="24"/>
              <w:lang w:val="en-GB" w:eastAsia="en-US"/>
            </w:rPr>
            <w:instrText xml:space="preserve"> HYPERLINK \l _Toc17049 </w:instrText>
          </w:r>
          <w:r>
            <w:rPr>
              <w:bCs/>
              <w:szCs w:val="24"/>
              <w:lang w:val="en-GB" w:eastAsia="en-US"/>
            </w:rPr>
            <w:fldChar w:fldCharType="separate"/>
          </w:r>
          <w:r>
            <w:rPr>
              <w:rFonts w:hint="default" w:ascii="Times" w:hAnsi="Times"/>
              <w:bCs/>
              <w:szCs w:val="24"/>
              <w:lang w:val="en-GB" w:eastAsia="pl-PL"/>
            </w:rPr>
            <w:t>Funding</w:t>
          </w:r>
          <w:r>
            <w:tab/>
          </w:r>
          <w:r>
            <w:fldChar w:fldCharType="begin"/>
          </w:r>
          <w:r>
            <w:instrText xml:space="preserve"> PAGEREF _Toc17049 \h </w:instrText>
          </w:r>
          <w:r>
            <w:fldChar w:fldCharType="separate"/>
          </w:r>
          <w:r>
            <w:t>10</w:t>
          </w:r>
          <w:r>
            <w:fldChar w:fldCharType="end"/>
          </w:r>
          <w:r>
            <w:rPr>
              <w:bCs/>
              <w:szCs w:val="24"/>
              <w:lang w:val="en-GB" w:eastAsia="en-US"/>
            </w:rPr>
            <w:fldChar w:fldCharType="end"/>
          </w:r>
        </w:p>
        <w:p w14:paraId="5FFAA997">
          <w:pPr>
            <w:pStyle w:val="26"/>
            <w:tabs>
              <w:tab w:val="right" w:leader="dot" w:pos="9072"/>
            </w:tabs>
          </w:pPr>
          <w:r>
            <w:rPr>
              <w:bCs/>
              <w:szCs w:val="24"/>
              <w:lang w:val="en-GB" w:eastAsia="en-US"/>
            </w:rPr>
            <w:fldChar w:fldCharType="begin"/>
          </w:r>
          <w:r>
            <w:rPr>
              <w:bCs/>
              <w:szCs w:val="24"/>
              <w:lang w:val="en-GB" w:eastAsia="en-US"/>
            </w:rPr>
            <w:instrText xml:space="preserve"> HYPERLINK \l _Toc4184 </w:instrText>
          </w:r>
          <w:r>
            <w:rPr>
              <w:bCs/>
              <w:szCs w:val="24"/>
              <w:lang w:val="en-GB" w:eastAsia="en-US"/>
            </w:rPr>
            <w:fldChar w:fldCharType="separate"/>
          </w:r>
          <w:r>
            <w:rPr>
              <w:rFonts w:hint="default" w:ascii="Times" w:hAnsi="Times"/>
              <w:bCs/>
              <w:szCs w:val="24"/>
              <w:lang w:val="en-GB" w:eastAsia="pl-PL"/>
            </w:rPr>
            <w:t>Institutional Review Board Statement</w:t>
          </w:r>
          <w:r>
            <w:tab/>
          </w:r>
          <w:r>
            <w:fldChar w:fldCharType="begin"/>
          </w:r>
          <w:r>
            <w:instrText xml:space="preserve"> PAGEREF _Toc4184 \h </w:instrText>
          </w:r>
          <w:r>
            <w:fldChar w:fldCharType="separate"/>
          </w:r>
          <w:r>
            <w:t>10</w:t>
          </w:r>
          <w:r>
            <w:fldChar w:fldCharType="end"/>
          </w:r>
          <w:r>
            <w:rPr>
              <w:bCs/>
              <w:szCs w:val="24"/>
              <w:lang w:val="en-GB" w:eastAsia="en-US"/>
            </w:rPr>
            <w:fldChar w:fldCharType="end"/>
          </w:r>
        </w:p>
        <w:p w14:paraId="5011F3BC">
          <w:pPr>
            <w:pStyle w:val="26"/>
            <w:tabs>
              <w:tab w:val="right" w:leader="dot" w:pos="9072"/>
            </w:tabs>
          </w:pPr>
          <w:r>
            <w:rPr>
              <w:bCs/>
              <w:szCs w:val="24"/>
              <w:lang w:val="en-GB" w:eastAsia="en-US"/>
            </w:rPr>
            <w:fldChar w:fldCharType="begin"/>
          </w:r>
          <w:r>
            <w:rPr>
              <w:bCs/>
              <w:szCs w:val="24"/>
              <w:lang w:val="en-GB" w:eastAsia="en-US"/>
            </w:rPr>
            <w:instrText xml:space="preserve"> HYPERLINK \l _Toc17270 </w:instrText>
          </w:r>
          <w:r>
            <w:rPr>
              <w:bCs/>
              <w:szCs w:val="24"/>
              <w:lang w:val="en-GB" w:eastAsia="en-US"/>
            </w:rPr>
            <w:fldChar w:fldCharType="separate"/>
          </w:r>
          <w:r>
            <w:rPr>
              <w:rFonts w:hint="default" w:ascii="Times" w:hAnsi="Times"/>
              <w:bCs/>
              <w:szCs w:val="24"/>
              <w:lang w:val="en-GB" w:eastAsia="pl-PL"/>
            </w:rPr>
            <w:t>Informed Consent Statement</w:t>
          </w:r>
          <w:r>
            <w:tab/>
          </w:r>
          <w:r>
            <w:fldChar w:fldCharType="begin"/>
          </w:r>
          <w:r>
            <w:instrText xml:space="preserve"> PAGEREF _Toc17270 \h </w:instrText>
          </w:r>
          <w:r>
            <w:fldChar w:fldCharType="separate"/>
          </w:r>
          <w:r>
            <w:t>11</w:t>
          </w:r>
          <w:r>
            <w:fldChar w:fldCharType="end"/>
          </w:r>
          <w:r>
            <w:rPr>
              <w:bCs/>
              <w:szCs w:val="24"/>
              <w:lang w:val="en-GB" w:eastAsia="en-US"/>
            </w:rPr>
            <w:fldChar w:fldCharType="end"/>
          </w:r>
        </w:p>
        <w:p w14:paraId="6EE34C78">
          <w:pPr>
            <w:pStyle w:val="26"/>
            <w:tabs>
              <w:tab w:val="right" w:leader="dot" w:pos="9072"/>
            </w:tabs>
          </w:pPr>
          <w:r>
            <w:rPr>
              <w:bCs/>
              <w:szCs w:val="24"/>
              <w:lang w:val="en-GB" w:eastAsia="en-US"/>
            </w:rPr>
            <w:fldChar w:fldCharType="begin"/>
          </w:r>
          <w:r>
            <w:rPr>
              <w:bCs/>
              <w:szCs w:val="24"/>
              <w:lang w:val="en-GB" w:eastAsia="en-US"/>
            </w:rPr>
            <w:instrText xml:space="preserve"> HYPERLINK \l _Toc18358 </w:instrText>
          </w:r>
          <w:r>
            <w:rPr>
              <w:bCs/>
              <w:szCs w:val="24"/>
              <w:lang w:val="en-GB" w:eastAsia="en-US"/>
            </w:rPr>
            <w:fldChar w:fldCharType="separate"/>
          </w:r>
          <w:r>
            <w:rPr>
              <w:rFonts w:hint="default" w:ascii="Times" w:hAnsi="Times"/>
              <w:bCs/>
              <w:szCs w:val="24"/>
              <w:lang w:val="en-GB" w:eastAsia="pl-PL"/>
            </w:rPr>
            <w:t>Data Availability Statement</w:t>
          </w:r>
          <w:r>
            <w:tab/>
          </w:r>
          <w:r>
            <w:fldChar w:fldCharType="begin"/>
          </w:r>
          <w:r>
            <w:instrText xml:space="preserve"> PAGEREF _Toc18358 \h </w:instrText>
          </w:r>
          <w:r>
            <w:fldChar w:fldCharType="separate"/>
          </w:r>
          <w:r>
            <w:t>11</w:t>
          </w:r>
          <w:r>
            <w:fldChar w:fldCharType="end"/>
          </w:r>
          <w:r>
            <w:rPr>
              <w:bCs/>
              <w:szCs w:val="24"/>
              <w:lang w:val="en-GB" w:eastAsia="en-US"/>
            </w:rPr>
            <w:fldChar w:fldCharType="end"/>
          </w:r>
        </w:p>
        <w:p w14:paraId="285A8891">
          <w:pPr>
            <w:pStyle w:val="26"/>
            <w:tabs>
              <w:tab w:val="right" w:leader="dot" w:pos="9072"/>
            </w:tabs>
          </w:pPr>
          <w:r>
            <w:rPr>
              <w:bCs/>
              <w:szCs w:val="24"/>
              <w:lang w:val="en-GB" w:eastAsia="en-US"/>
            </w:rPr>
            <w:fldChar w:fldCharType="begin"/>
          </w:r>
          <w:r>
            <w:rPr>
              <w:bCs/>
              <w:szCs w:val="24"/>
              <w:lang w:val="en-GB" w:eastAsia="en-US"/>
            </w:rPr>
            <w:instrText xml:space="preserve"> HYPERLINK \l _Toc18970 </w:instrText>
          </w:r>
          <w:r>
            <w:rPr>
              <w:bCs/>
              <w:szCs w:val="24"/>
              <w:lang w:val="en-GB" w:eastAsia="en-US"/>
            </w:rPr>
            <w:fldChar w:fldCharType="separate"/>
          </w:r>
          <w:r>
            <w:rPr>
              <w:rFonts w:ascii="Times" w:hAnsi="Times" w:cs="Times"/>
              <w:bCs/>
              <w:szCs w:val="24"/>
              <w:lang w:val="en-US" w:eastAsia="pl-PL"/>
            </w:rPr>
            <w:t>Acknowledgements</w:t>
          </w:r>
          <w:r>
            <w:tab/>
          </w:r>
          <w:r>
            <w:fldChar w:fldCharType="begin"/>
          </w:r>
          <w:r>
            <w:instrText xml:space="preserve"> PAGEREF _Toc18970 \h </w:instrText>
          </w:r>
          <w:r>
            <w:fldChar w:fldCharType="separate"/>
          </w:r>
          <w:r>
            <w:t>11</w:t>
          </w:r>
          <w:r>
            <w:fldChar w:fldCharType="end"/>
          </w:r>
          <w:r>
            <w:rPr>
              <w:bCs/>
              <w:szCs w:val="24"/>
              <w:lang w:val="en-GB" w:eastAsia="en-US"/>
            </w:rPr>
            <w:fldChar w:fldCharType="end"/>
          </w:r>
        </w:p>
        <w:p w14:paraId="56E3ED59">
          <w:pPr>
            <w:pStyle w:val="26"/>
            <w:tabs>
              <w:tab w:val="right" w:leader="dot" w:pos="9072"/>
            </w:tabs>
          </w:pPr>
          <w:r>
            <w:rPr>
              <w:bCs/>
              <w:szCs w:val="24"/>
              <w:lang w:val="en-GB" w:eastAsia="en-US"/>
            </w:rPr>
            <w:fldChar w:fldCharType="begin"/>
          </w:r>
          <w:r>
            <w:rPr>
              <w:bCs/>
              <w:szCs w:val="24"/>
              <w:lang w:val="en-GB" w:eastAsia="en-US"/>
            </w:rPr>
            <w:instrText xml:space="preserve"> HYPERLINK \l _Toc7601 </w:instrText>
          </w:r>
          <w:r>
            <w:rPr>
              <w:bCs/>
              <w:szCs w:val="24"/>
              <w:lang w:val="en-GB" w:eastAsia="en-US"/>
            </w:rPr>
            <w:fldChar w:fldCharType="separate"/>
          </w:r>
          <w:r>
            <w:rPr>
              <w:rFonts w:hint="default" w:ascii="Times" w:hAnsi="Times"/>
              <w:bCs/>
              <w:szCs w:val="24"/>
              <w:lang w:val="en-GB" w:eastAsia="pl-PL"/>
            </w:rPr>
            <w:t>Conflicts of Interest</w:t>
          </w:r>
          <w:r>
            <w:tab/>
          </w:r>
          <w:r>
            <w:fldChar w:fldCharType="begin"/>
          </w:r>
          <w:r>
            <w:instrText xml:space="preserve"> PAGEREF _Toc7601 \h </w:instrText>
          </w:r>
          <w:r>
            <w:fldChar w:fldCharType="separate"/>
          </w:r>
          <w:r>
            <w:t>11</w:t>
          </w:r>
          <w:r>
            <w:fldChar w:fldCharType="end"/>
          </w:r>
          <w:r>
            <w:rPr>
              <w:bCs/>
              <w:szCs w:val="24"/>
              <w:lang w:val="en-GB" w:eastAsia="en-US"/>
            </w:rPr>
            <w:fldChar w:fldCharType="end"/>
          </w:r>
        </w:p>
        <w:p w14:paraId="2F651044">
          <w:pPr>
            <w:pStyle w:val="24"/>
            <w:tabs>
              <w:tab w:val="right" w:leader="dot" w:pos="9072"/>
            </w:tabs>
          </w:pPr>
          <w:r>
            <w:rPr>
              <w:bCs/>
              <w:szCs w:val="24"/>
              <w:lang w:val="en-GB" w:eastAsia="en-US"/>
            </w:rPr>
            <w:fldChar w:fldCharType="begin"/>
          </w:r>
          <w:r>
            <w:rPr>
              <w:bCs/>
              <w:szCs w:val="24"/>
              <w:lang w:val="en-GB" w:eastAsia="en-US"/>
            </w:rPr>
            <w:instrText xml:space="preserve"> HYPERLINK \l _Toc14868 </w:instrText>
          </w:r>
          <w:r>
            <w:rPr>
              <w:bCs/>
              <w:szCs w:val="24"/>
              <w:lang w:val="en-GB" w:eastAsia="en-US"/>
            </w:rPr>
            <w:fldChar w:fldCharType="separate"/>
          </w:r>
          <w:r>
            <w:rPr>
              <w:bCs/>
              <w:szCs w:val="24"/>
              <w:lang w:val="en-GB" w:eastAsia="pl-PL"/>
            </w:rPr>
            <w:t>References</w:t>
          </w:r>
          <w:r>
            <w:rPr>
              <w:rFonts w:hint="default"/>
              <w:bCs/>
              <w:szCs w:val="24"/>
              <w:lang w:val="en-US" w:eastAsia="pl-PL"/>
            </w:rPr>
            <w:t xml:space="preserve"> (</w:t>
          </w:r>
          <w:r>
            <w:rPr>
              <w:szCs w:val="24"/>
              <w:lang w:val="en-US"/>
            </w:rPr>
            <w:t>link</w:t>
          </w:r>
          <w:r>
            <w:rPr>
              <w:rFonts w:hint="default"/>
              <w:szCs w:val="24"/>
              <w:lang w:val="pl-PL"/>
            </w:rPr>
            <w:t xml:space="preserve"> p</w:t>
          </w:r>
          <w:r>
            <w:rPr>
              <w:szCs w:val="24"/>
              <w:lang w:val="en-US"/>
            </w:rPr>
            <w:t xml:space="preserve">ages </w:t>
          </w:r>
          <w:r>
            <w:rPr>
              <w:rFonts w:hint="default"/>
              <w:szCs w:val="24"/>
              <w:lang w:val="pl-PL"/>
            </w:rPr>
            <w:t xml:space="preserve">and DOI </w:t>
          </w:r>
          <w:r>
            <w:rPr>
              <w:szCs w:val="24"/>
              <w:lang w:val="en-US"/>
            </w:rPr>
            <w:t xml:space="preserve">must be </w:t>
          </w:r>
          <w:r>
            <w:rPr>
              <w:szCs w:val="24"/>
              <w:lang w:val="pl-PL"/>
            </w:rPr>
            <w:t>active; addresses</w:t>
          </w:r>
          <w:r>
            <w:rPr>
              <w:rFonts w:hint="default"/>
              <w:szCs w:val="24"/>
              <w:lang w:val="pl-PL"/>
            </w:rPr>
            <w:t xml:space="preserve"> must be complete).</w:t>
          </w:r>
          <w:r>
            <w:tab/>
          </w:r>
          <w:r>
            <w:fldChar w:fldCharType="begin"/>
          </w:r>
          <w:r>
            <w:instrText xml:space="preserve"> PAGEREF _Toc14868 \h </w:instrText>
          </w:r>
          <w:r>
            <w:fldChar w:fldCharType="separate"/>
          </w:r>
          <w:r>
            <w:t>11</w:t>
          </w:r>
          <w:r>
            <w:fldChar w:fldCharType="end"/>
          </w:r>
          <w:r>
            <w:rPr>
              <w:bCs/>
              <w:szCs w:val="24"/>
              <w:lang w:val="en-GB" w:eastAsia="en-US"/>
            </w:rPr>
            <w:fldChar w:fldCharType="end"/>
          </w:r>
        </w:p>
        <w:p w14:paraId="3BA2EDFC">
          <w:pPr>
            <w:spacing w:line="360" w:lineRule="auto"/>
            <w:rPr>
              <w:rFonts w:ascii="Times New Roman" w:hAnsi="Times New Roman" w:eastAsia="Times New Roman" w:cs="Times New Roman"/>
              <w:bCs/>
              <w:sz w:val="20"/>
              <w:szCs w:val="24"/>
              <w:lang w:val="en-GB" w:eastAsia="en-US" w:bidi="ar-SA"/>
            </w:rPr>
          </w:pPr>
          <w:r>
            <w:rPr>
              <w:bCs/>
              <w:szCs w:val="24"/>
              <w:lang w:val="en-GB" w:eastAsia="en-US"/>
            </w:rPr>
            <w:fldChar w:fldCharType="end"/>
          </w:r>
        </w:p>
      </w:sdtContent>
    </w:sdt>
    <w:p w14:paraId="1AAFB2F8">
      <w:pPr>
        <w:spacing w:line="360" w:lineRule="auto"/>
        <w:jc w:val="both"/>
        <w:outlineLvl w:val="0"/>
        <w:rPr>
          <w:b/>
          <w:bCs/>
          <w:sz w:val="24"/>
          <w:szCs w:val="24"/>
          <w:lang w:val="en-GB" w:eastAsia="en-US"/>
        </w:rPr>
      </w:pPr>
    </w:p>
    <w:p w14:paraId="5415C1EA">
      <w:pPr>
        <w:spacing w:line="360" w:lineRule="auto"/>
        <w:jc w:val="both"/>
        <w:outlineLvl w:val="0"/>
        <w:rPr>
          <w:b/>
          <w:bCs/>
          <w:sz w:val="24"/>
          <w:szCs w:val="24"/>
          <w:lang w:val="en-GB" w:eastAsia="en-US"/>
        </w:rPr>
      </w:pPr>
    </w:p>
    <w:p w14:paraId="1C178634">
      <w:pPr>
        <w:spacing w:line="360" w:lineRule="auto"/>
        <w:jc w:val="both"/>
        <w:outlineLvl w:val="0"/>
        <w:rPr>
          <w:b/>
          <w:bCs/>
          <w:sz w:val="24"/>
          <w:szCs w:val="24"/>
          <w:lang w:val="en-GB" w:eastAsia="en-US"/>
        </w:rPr>
      </w:pPr>
    </w:p>
    <w:p w14:paraId="307F06AF">
      <w:pPr>
        <w:spacing w:line="360" w:lineRule="auto"/>
        <w:jc w:val="both"/>
        <w:outlineLvl w:val="0"/>
        <w:rPr>
          <w:b/>
          <w:bCs/>
          <w:sz w:val="24"/>
          <w:szCs w:val="24"/>
          <w:lang w:val="en-GB" w:eastAsia="en-US"/>
        </w:rPr>
      </w:pPr>
    </w:p>
    <w:p w14:paraId="18DC18AD">
      <w:pPr>
        <w:spacing w:line="360" w:lineRule="auto"/>
        <w:jc w:val="both"/>
        <w:outlineLvl w:val="0"/>
        <w:rPr>
          <w:b/>
          <w:bCs/>
          <w:sz w:val="24"/>
          <w:szCs w:val="24"/>
          <w:lang w:val="en-GB" w:eastAsia="en-US"/>
        </w:rPr>
      </w:pPr>
    </w:p>
    <w:p w14:paraId="5566893D">
      <w:pPr>
        <w:spacing w:line="360" w:lineRule="auto"/>
        <w:jc w:val="both"/>
        <w:outlineLvl w:val="0"/>
        <w:rPr>
          <w:b/>
          <w:bCs/>
          <w:sz w:val="24"/>
          <w:szCs w:val="24"/>
          <w:lang w:val="en-GB" w:eastAsia="en-US"/>
        </w:rPr>
      </w:pPr>
      <w:bookmarkStart w:id="0" w:name="_Toc28725"/>
      <w:r>
        <w:rPr>
          <w:b/>
          <w:bCs/>
          <w:sz w:val="24"/>
          <w:szCs w:val="24"/>
          <w:lang w:val="en-GB" w:eastAsia="en-US"/>
        </w:rPr>
        <w:t>1. Introduction</w:t>
      </w:r>
      <w:bookmarkEnd w:id="0"/>
    </w:p>
    <w:p w14:paraId="7EF0310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59ED9EE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C4A407B">
      <w:pPr>
        <w:ind w:firstLine="357"/>
        <w:jc w:val="both"/>
        <w:outlineLvl w:val="9"/>
        <w:rPr>
          <w:rFonts w:hint="default"/>
          <w:b w:val="0"/>
          <w:bCs/>
          <w:sz w:val="24"/>
          <w:szCs w:val="24"/>
          <w:lang w:val="pl-PL"/>
        </w:rPr>
      </w:pPr>
      <w:r>
        <w:rPr>
          <w:rFonts w:hint="default"/>
          <w:b/>
          <w:sz w:val="24"/>
          <w:szCs w:val="24"/>
          <w:lang w:val="en-GB"/>
        </w:rPr>
        <w:t>Research Objective</w:t>
      </w:r>
      <w:r>
        <w:rPr>
          <w:rFonts w:hint="default"/>
          <w:b/>
          <w:sz w:val="24"/>
          <w:szCs w:val="24"/>
          <w:lang w:val="pl-PL"/>
        </w:rPr>
        <w:t>.</w:t>
      </w:r>
      <w:r>
        <w:rPr>
          <w:rFonts w:hint="default"/>
          <w:b w:val="0"/>
          <w:bCs/>
          <w:sz w:val="24"/>
          <w:szCs w:val="24"/>
          <w:lang w:val="pl-PL"/>
        </w:rPr>
        <w:t xml:space="preserve"> Xxxxxxxxxxxxxxx.</w:t>
      </w:r>
    </w:p>
    <w:p w14:paraId="2A83FFFC">
      <w:pPr>
        <w:ind w:firstLine="357"/>
        <w:jc w:val="both"/>
        <w:outlineLvl w:val="9"/>
        <w:rPr>
          <w:rFonts w:hint="default"/>
          <w:b w:val="0"/>
          <w:bCs/>
          <w:sz w:val="24"/>
          <w:szCs w:val="24"/>
          <w:lang w:val="pl-PL"/>
        </w:rPr>
      </w:pPr>
      <w:r>
        <w:rPr>
          <w:rFonts w:hint="default"/>
          <w:b/>
          <w:sz w:val="24"/>
          <w:szCs w:val="24"/>
          <w:lang w:val="en-GB"/>
        </w:rPr>
        <w:t>Research Problems</w:t>
      </w:r>
      <w:r>
        <w:rPr>
          <w:rFonts w:hint="default"/>
          <w:b/>
          <w:sz w:val="24"/>
          <w:szCs w:val="24"/>
          <w:lang w:val="pl-PL"/>
        </w:rPr>
        <w:t xml:space="preserve">. </w:t>
      </w:r>
      <w:r>
        <w:rPr>
          <w:rFonts w:hint="default"/>
          <w:b w:val="0"/>
          <w:bCs/>
          <w:sz w:val="24"/>
          <w:szCs w:val="24"/>
          <w:lang w:val="pl-PL"/>
        </w:rPr>
        <w:t>Xxxxxxxxxxxxxxx?</w:t>
      </w:r>
    </w:p>
    <w:p w14:paraId="63ED5E1E">
      <w:pPr>
        <w:ind w:firstLine="357"/>
        <w:jc w:val="both"/>
        <w:outlineLvl w:val="9"/>
        <w:rPr>
          <w:rFonts w:hint="default"/>
          <w:b w:val="0"/>
          <w:bCs/>
          <w:sz w:val="24"/>
          <w:szCs w:val="24"/>
          <w:lang w:val="pl-PL"/>
        </w:rPr>
      </w:pPr>
      <w:r>
        <w:rPr>
          <w:rFonts w:hint="default"/>
          <w:b/>
          <w:sz w:val="24"/>
          <w:szCs w:val="24"/>
          <w:lang w:val="en-GB"/>
        </w:rPr>
        <w:t>Research Hypotheses</w:t>
      </w:r>
      <w:r>
        <w:rPr>
          <w:rFonts w:hint="default"/>
          <w:b/>
          <w:sz w:val="24"/>
          <w:szCs w:val="24"/>
          <w:lang w:val="pl-PL"/>
        </w:rPr>
        <w:t xml:space="preserve">. </w:t>
      </w:r>
      <w:r>
        <w:rPr>
          <w:rFonts w:hint="default"/>
          <w:b w:val="0"/>
          <w:bCs/>
          <w:sz w:val="24"/>
          <w:szCs w:val="24"/>
          <w:lang w:val="pl-PL"/>
        </w:rPr>
        <w:t>Xxxxxxxxxxxxxxx.</w:t>
      </w:r>
    </w:p>
    <w:p w14:paraId="71B9C6D6">
      <w:pPr>
        <w:spacing w:line="360" w:lineRule="auto"/>
        <w:jc w:val="both"/>
        <w:rPr>
          <w:sz w:val="24"/>
          <w:szCs w:val="24"/>
          <w:lang w:val="en-GB" w:eastAsia="pl-PL"/>
        </w:rPr>
      </w:pPr>
    </w:p>
    <w:p w14:paraId="5D3F38F0">
      <w:pPr>
        <w:numPr>
          <w:ilvl w:val="0"/>
          <w:numId w:val="1"/>
        </w:numPr>
        <w:spacing w:line="360" w:lineRule="auto"/>
        <w:jc w:val="both"/>
        <w:outlineLvl w:val="0"/>
        <w:rPr>
          <w:b/>
          <w:bCs/>
          <w:sz w:val="24"/>
          <w:szCs w:val="24"/>
          <w:lang w:val="en-GB" w:eastAsia="pl-PL"/>
        </w:rPr>
      </w:pPr>
      <w:bookmarkStart w:id="1" w:name="_Toc20549"/>
      <w:r>
        <w:rPr>
          <w:b/>
          <w:bCs/>
          <w:sz w:val="24"/>
          <w:szCs w:val="24"/>
          <w:lang w:val="en-GB" w:eastAsia="pl-PL"/>
        </w:rPr>
        <w:t>Research materials and methods</w:t>
      </w:r>
      <w:bookmarkEnd w:id="1"/>
    </w:p>
    <w:p w14:paraId="6D4D9799">
      <w:pPr>
        <w:numPr>
          <w:ilvl w:val="0"/>
          <w:numId w:val="0"/>
        </w:numPr>
        <w:spacing w:line="360" w:lineRule="auto"/>
        <w:jc w:val="both"/>
        <w:outlineLvl w:val="0"/>
        <w:rPr>
          <w:b/>
          <w:bCs/>
          <w:sz w:val="24"/>
          <w:szCs w:val="24"/>
          <w:lang w:val="en-GB" w:eastAsia="pl-PL"/>
        </w:rPr>
      </w:pPr>
    </w:p>
    <w:p w14:paraId="38D9D35C">
      <w:pPr>
        <w:numPr>
          <w:ilvl w:val="1"/>
          <w:numId w:val="1"/>
        </w:numPr>
        <w:spacing w:line="360" w:lineRule="auto"/>
        <w:jc w:val="both"/>
        <w:outlineLvl w:val="1"/>
        <w:rPr>
          <w:rFonts w:hint="default"/>
          <w:b/>
          <w:bCs/>
          <w:sz w:val="24"/>
          <w:szCs w:val="24"/>
          <w:lang w:val="en-US" w:eastAsia="pl-PL"/>
        </w:rPr>
      </w:pPr>
      <w:bookmarkStart w:id="2" w:name="_Toc28670"/>
      <w:r>
        <w:rPr>
          <w:rFonts w:hint="default"/>
          <w:b/>
          <w:bCs/>
          <w:sz w:val="24"/>
          <w:szCs w:val="24"/>
          <w:lang w:val="en-US" w:eastAsia="pl-PL"/>
        </w:rPr>
        <w:t>Participants.</w:t>
      </w:r>
      <w:bookmarkEnd w:id="2"/>
    </w:p>
    <w:p w14:paraId="1A163A9F">
      <w:pPr>
        <w:numPr>
          <w:ilvl w:val="0"/>
          <w:numId w:val="0"/>
        </w:numPr>
        <w:spacing w:line="360" w:lineRule="auto"/>
        <w:ind w:leftChars="0"/>
        <w:jc w:val="both"/>
        <w:outlineLvl w:val="9"/>
        <w:rPr>
          <w:rFonts w:hint="default"/>
          <w:b w:val="0"/>
          <w:bCs w:val="0"/>
          <w:sz w:val="24"/>
          <w:szCs w:val="24"/>
          <w:lang w:val="en-US" w:eastAsia="pl-PL"/>
        </w:rPr>
      </w:pPr>
      <w:r>
        <w:rPr>
          <w:rFonts w:hint="default"/>
          <w:b w:val="0"/>
          <w:bCs w:val="0"/>
          <w:sz w:val="24"/>
          <w:szCs w:val="24"/>
          <w:lang w:val="en-US" w:eastAsia="pl-PL"/>
        </w:rPr>
        <w:t>Xxxxxxxxxxxxxxxxxxx.</w:t>
      </w:r>
    </w:p>
    <w:p w14:paraId="6CECD466">
      <w:pPr>
        <w:numPr>
          <w:ilvl w:val="0"/>
          <w:numId w:val="0"/>
        </w:numPr>
        <w:spacing w:line="360" w:lineRule="auto"/>
        <w:ind w:leftChars="0"/>
        <w:jc w:val="both"/>
        <w:outlineLvl w:val="9"/>
        <w:rPr>
          <w:rFonts w:hint="default"/>
          <w:b w:val="0"/>
          <w:bCs w:val="0"/>
          <w:sz w:val="24"/>
          <w:szCs w:val="24"/>
          <w:lang w:val="en-US" w:eastAsia="pl-PL"/>
        </w:rPr>
      </w:pPr>
    </w:p>
    <w:p w14:paraId="65DACB02">
      <w:pPr>
        <w:numPr>
          <w:ilvl w:val="1"/>
          <w:numId w:val="1"/>
        </w:numPr>
        <w:spacing w:line="360" w:lineRule="auto"/>
        <w:ind w:left="0" w:leftChars="0" w:firstLine="0" w:firstLineChars="0"/>
        <w:jc w:val="both"/>
        <w:outlineLvl w:val="1"/>
        <w:rPr>
          <w:rFonts w:hint="default"/>
          <w:b/>
          <w:bCs/>
          <w:sz w:val="24"/>
          <w:szCs w:val="24"/>
          <w:lang w:val="en-US" w:eastAsia="pl-PL"/>
        </w:rPr>
      </w:pPr>
      <w:bookmarkStart w:id="3" w:name="_Toc27010"/>
      <w:r>
        <w:rPr>
          <w:rFonts w:hint="default"/>
          <w:b/>
          <w:bCs/>
          <w:sz w:val="24"/>
          <w:szCs w:val="24"/>
          <w:lang w:val="en-US" w:eastAsia="pl-PL"/>
        </w:rPr>
        <w:t>Procedure / Test protocol / Skill test trial / Measure / Instruments.</w:t>
      </w:r>
      <w:bookmarkEnd w:id="3"/>
    </w:p>
    <w:p w14:paraId="0C68FF85">
      <w:pPr>
        <w:numPr>
          <w:ilvl w:val="0"/>
          <w:numId w:val="0"/>
        </w:numPr>
        <w:spacing w:line="360" w:lineRule="auto"/>
        <w:ind w:leftChars="0"/>
        <w:jc w:val="both"/>
        <w:outlineLvl w:val="9"/>
        <w:rPr>
          <w:rFonts w:hint="default"/>
          <w:b w:val="0"/>
          <w:bCs w:val="0"/>
          <w:sz w:val="24"/>
          <w:szCs w:val="24"/>
          <w:lang w:val="en-US" w:eastAsia="pl-PL"/>
        </w:rPr>
      </w:pPr>
      <w:r>
        <w:rPr>
          <w:rFonts w:hint="default"/>
          <w:b w:val="0"/>
          <w:bCs w:val="0"/>
          <w:sz w:val="24"/>
          <w:szCs w:val="24"/>
          <w:lang w:val="en-US" w:eastAsia="pl-PL"/>
        </w:rPr>
        <w:t>Xxxxxxxxxxxxxxxxxxxxxxx.</w:t>
      </w:r>
    </w:p>
    <w:p w14:paraId="67201DA4">
      <w:pPr>
        <w:numPr>
          <w:ilvl w:val="0"/>
          <w:numId w:val="0"/>
        </w:numPr>
        <w:spacing w:line="360" w:lineRule="auto"/>
        <w:ind w:leftChars="0"/>
        <w:jc w:val="both"/>
        <w:outlineLvl w:val="9"/>
        <w:rPr>
          <w:rFonts w:hint="default"/>
          <w:b w:val="0"/>
          <w:bCs w:val="0"/>
          <w:sz w:val="24"/>
          <w:szCs w:val="24"/>
          <w:lang w:val="en-US" w:eastAsia="pl-PL"/>
        </w:rPr>
      </w:pPr>
    </w:p>
    <w:p w14:paraId="277A785F">
      <w:pPr>
        <w:numPr>
          <w:ilvl w:val="0"/>
          <w:numId w:val="0"/>
        </w:numPr>
        <w:spacing w:line="360" w:lineRule="auto"/>
        <w:jc w:val="both"/>
        <w:outlineLvl w:val="1"/>
        <w:rPr>
          <w:rFonts w:hint="default"/>
          <w:b/>
          <w:bCs/>
          <w:sz w:val="24"/>
          <w:szCs w:val="24"/>
          <w:lang w:val="en-US" w:eastAsia="pl-PL"/>
        </w:rPr>
      </w:pPr>
      <w:bookmarkStart w:id="4" w:name="_Toc27036"/>
      <w:r>
        <w:rPr>
          <w:rFonts w:hint="default"/>
          <w:b/>
          <w:bCs/>
          <w:sz w:val="24"/>
          <w:szCs w:val="24"/>
          <w:lang w:val="en-US" w:eastAsia="pl-PL"/>
        </w:rPr>
        <w:t>2.3. Data collection and analysis / Statistical analysis.</w:t>
      </w:r>
      <w:bookmarkEnd w:id="4"/>
    </w:p>
    <w:p w14:paraId="575CE4B2">
      <w:pPr>
        <w:numPr>
          <w:ilvl w:val="0"/>
          <w:numId w:val="0"/>
        </w:numPr>
        <w:spacing w:line="360" w:lineRule="auto"/>
        <w:jc w:val="both"/>
        <w:outlineLvl w:val="2"/>
        <w:rPr>
          <w:rFonts w:hint="default" w:ascii="Times New Roman" w:hAnsi="Times New Roman" w:cs="Times New Roman"/>
          <w:b/>
          <w:bCs/>
          <w:sz w:val="24"/>
          <w:szCs w:val="24"/>
          <w:lang w:val="pl-PL"/>
        </w:rPr>
      </w:pPr>
      <w:bookmarkStart w:id="5" w:name="_Toc32588"/>
    </w:p>
    <w:p w14:paraId="6F2536AD">
      <w:pPr>
        <w:numPr>
          <w:ilvl w:val="0"/>
          <w:numId w:val="0"/>
        </w:numPr>
        <w:spacing w:line="360" w:lineRule="auto"/>
        <w:jc w:val="both"/>
        <w:outlineLvl w:val="2"/>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2.3.1.</w:t>
      </w:r>
      <w:r>
        <w:rPr>
          <w:rFonts w:hint="default" w:cs="Times New Roman"/>
          <w:b/>
          <w:bCs/>
          <w:sz w:val="24"/>
          <w:szCs w:val="24"/>
          <w:lang w:val="pl-PL"/>
        </w:rPr>
        <w:t xml:space="preserve"> </w:t>
      </w:r>
      <w:r>
        <w:rPr>
          <w:rFonts w:hint="default" w:ascii="Times New Roman" w:hAnsi="Times New Roman" w:cs="Times New Roman"/>
          <w:b/>
          <w:bCs/>
          <w:sz w:val="24"/>
          <w:szCs w:val="24"/>
          <w:lang w:val="pl-PL"/>
        </w:rPr>
        <w:t>Statistical Software.</w:t>
      </w:r>
      <w:bookmarkEnd w:id="5"/>
    </w:p>
    <w:p w14:paraId="11D58EDB">
      <w:pPr>
        <w:numPr>
          <w:ilvl w:val="0"/>
          <w:numId w:val="0"/>
        </w:numPr>
        <w:spacing w:line="360" w:lineRule="auto"/>
        <w:jc w:val="both"/>
        <w:outlineLvl w:val="9"/>
        <w:rPr>
          <w:rFonts w:hint="default" w:ascii="Times New Roman" w:hAnsi="Times New Roman" w:cs="Times New Roman"/>
          <w:sz w:val="24"/>
          <w:szCs w:val="24"/>
          <w:lang w:val="pl-PL"/>
        </w:rPr>
      </w:pPr>
      <w:r>
        <w:rPr>
          <w:rFonts w:hint="default" w:ascii="Times New Roman" w:hAnsi="Times New Roman" w:cs="Times New Roman"/>
          <w:sz w:val="24"/>
          <w:szCs w:val="24"/>
          <w:lang w:val="en-US"/>
        </w:rPr>
        <w:t>Statistical processing</w:t>
      </w:r>
      <w:r>
        <w:rPr>
          <w:rFonts w:hint="default" w:ascii="Times New Roman" w:hAnsi="Times New Roman" w:cs="Times New Roman"/>
          <w:sz w:val="24"/>
          <w:szCs w:val="24"/>
          <w:lang w:val="pl-PL"/>
        </w:rPr>
        <w:t xml:space="preserve"> xxxxxxxxxxxxxxxxxxxxxxxxxxx.</w:t>
      </w:r>
    </w:p>
    <w:p w14:paraId="5B9EE3A4">
      <w:pPr>
        <w:numPr>
          <w:ilvl w:val="0"/>
          <w:numId w:val="0"/>
        </w:numPr>
        <w:spacing w:line="360" w:lineRule="auto"/>
        <w:jc w:val="both"/>
        <w:outlineLvl w:val="9"/>
        <w:rPr>
          <w:rFonts w:hint="default" w:ascii="Times New Roman" w:hAnsi="Times New Roman" w:cs="Times New Roman"/>
          <w:sz w:val="24"/>
          <w:szCs w:val="24"/>
          <w:lang w:val="pl-PL" w:eastAsia="pl-PL"/>
        </w:rPr>
      </w:pPr>
    </w:p>
    <w:p w14:paraId="4C6AC0AE">
      <w:pPr>
        <w:numPr>
          <w:ilvl w:val="0"/>
          <w:numId w:val="0"/>
        </w:numPr>
        <w:spacing w:line="360" w:lineRule="auto"/>
        <w:jc w:val="both"/>
        <w:outlineLvl w:val="2"/>
        <w:rPr>
          <w:rFonts w:hint="default"/>
          <w:b/>
          <w:bCs/>
          <w:sz w:val="24"/>
          <w:szCs w:val="24"/>
          <w:lang w:val="en-US" w:eastAsia="pl-PL"/>
        </w:rPr>
      </w:pPr>
      <w:bookmarkStart w:id="6" w:name="_Toc10357"/>
      <w:r>
        <w:rPr>
          <w:rFonts w:hint="default"/>
          <w:b/>
          <w:bCs/>
          <w:sz w:val="24"/>
          <w:szCs w:val="24"/>
          <w:lang w:val="en-US" w:eastAsia="pl-PL"/>
        </w:rPr>
        <w:t>2.3.2. AI.</w:t>
      </w:r>
      <w:bookmarkEnd w:id="6"/>
    </w:p>
    <w:p w14:paraId="37F8AEC0">
      <w:pPr>
        <w:numPr>
          <w:ilvl w:val="0"/>
          <w:numId w:val="0"/>
        </w:numPr>
        <w:spacing w:line="360" w:lineRule="auto"/>
        <w:jc w:val="both"/>
        <w:outlineLvl w:val="9"/>
        <w:rPr>
          <w:rFonts w:hint="default"/>
          <w:b w:val="0"/>
          <w:bCs w:val="0"/>
          <w:sz w:val="24"/>
          <w:szCs w:val="24"/>
          <w:lang w:val="en-US" w:eastAsia="pl-PL"/>
        </w:rPr>
      </w:pPr>
      <w:r>
        <w:rPr>
          <w:rFonts w:hint="default"/>
          <w:b w:val="0"/>
          <w:bCs w:val="0"/>
          <w:sz w:val="24"/>
          <w:szCs w:val="24"/>
          <w:lang w:val="en-US" w:eastAsia="pl-PL"/>
        </w:rPr>
        <w:t xml:space="preserve">AI was utilized for two specific purposes in this research. Text analysis of clinical reasoning narratives to identify linguistic patterns associated with specific logical fallacies. Assistance in refining the academic English language of the manuscript, ensuring clarity, consistency, and adherence to scientific writing standards. </w:t>
      </w:r>
      <w:r>
        <w:rPr>
          <w:rFonts w:hint="default"/>
          <w:b/>
          <w:bCs/>
          <w:sz w:val="24"/>
          <w:szCs w:val="24"/>
          <w:lang w:val="en-US" w:eastAsia="pl-PL"/>
        </w:rPr>
        <w:t>AI</w:t>
      </w:r>
      <w:r>
        <w:rPr>
          <w:rFonts w:hint="default"/>
          <w:b w:val="0"/>
          <w:bCs w:val="0"/>
          <w:sz w:val="24"/>
          <w:szCs w:val="24"/>
          <w:lang w:val="en-US" w:eastAsia="pl-PL"/>
        </w:rPr>
        <w:t xml:space="preserve"> were used for additional linguistic refinement of the research manuscript, ensuring proper English grammar, style, and clarity in the presentation of results. It is important to emphasize that all AI tools were used strictly as assistive instruments under human supervision. The final interpretation of results, classification of errors, and conclusions were determined by human experts in clinical medicine and formal logic. The AI tools served primarily to enhance efficiency in data processing, pattern recognition, and linguistic refinement, rather than replacing human judgment in the analytical process.</w:t>
      </w:r>
    </w:p>
    <w:p w14:paraId="4BA9D93C">
      <w:pPr>
        <w:numPr>
          <w:ilvl w:val="0"/>
          <w:numId w:val="0"/>
        </w:numPr>
        <w:spacing w:line="360" w:lineRule="auto"/>
        <w:jc w:val="both"/>
        <w:outlineLvl w:val="9"/>
        <w:rPr>
          <w:rFonts w:hint="default"/>
          <w:b w:val="0"/>
          <w:bCs w:val="0"/>
          <w:sz w:val="24"/>
          <w:szCs w:val="24"/>
          <w:lang w:val="en-US" w:eastAsia="pl-PL"/>
        </w:rPr>
      </w:pPr>
    </w:p>
    <w:p w14:paraId="05919FB3">
      <w:pPr>
        <w:numPr>
          <w:ilvl w:val="0"/>
          <w:numId w:val="0"/>
        </w:numPr>
        <w:spacing w:line="360" w:lineRule="auto"/>
        <w:jc w:val="both"/>
        <w:outlineLvl w:val="2"/>
        <w:rPr>
          <w:rFonts w:hint="default"/>
          <w:b/>
          <w:bCs/>
          <w:sz w:val="24"/>
          <w:szCs w:val="24"/>
          <w:lang w:val="en-US" w:eastAsia="pl-PL"/>
        </w:rPr>
      </w:pPr>
      <w:bookmarkStart w:id="7" w:name="_Toc10689"/>
      <w:r>
        <w:rPr>
          <w:rFonts w:hint="default"/>
          <w:b/>
          <w:bCs/>
          <w:sz w:val="24"/>
          <w:szCs w:val="24"/>
          <w:lang w:val="en-US" w:eastAsia="pl-PL"/>
        </w:rPr>
        <w:t xml:space="preserve">2.3.3. </w:t>
      </w:r>
      <w:r>
        <w:rPr>
          <w:rFonts w:hint="default"/>
          <w:b/>
          <w:bCs/>
          <w:sz w:val="24"/>
          <w:szCs w:val="24"/>
          <w:lang w:val="en-US"/>
        </w:rPr>
        <w:t>Statistical Methods</w:t>
      </w:r>
      <w:r>
        <w:rPr>
          <w:rFonts w:hint="default"/>
          <w:b/>
          <w:bCs/>
          <w:sz w:val="24"/>
          <w:szCs w:val="24"/>
          <w:lang w:val="pl-PL"/>
        </w:rPr>
        <w:t>.</w:t>
      </w:r>
      <w:bookmarkEnd w:id="7"/>
    </w:p>
    <w:p w14:paraId="5B841F1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24B710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2D85E5E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27DA4EC2">
      <w:pPr>
        <w:spacing w:line="360" w:lineRule="auto"/>
        <w:jc w:val="both"/>
        <w:rPr>
          <w:sz w:val="24"/>
          <w:szCs w:val="24"/>
          <w:lang w:val="en-GB" w:eastAsia="pl-PL"/>
        </w:rPr>
      </w:pPr>
    </w:p>
    <w:p w14:paraId="4D25D07C">
      <w:pPr>
        <w:numPr>
          <w:ilvl w:val="0"/>
          <w:numId w:val="1"/>
        </w:numPr>
        <w:spacing w:line="360" w:lineRule="auto"/>
        <w:ind w:left="0" w:leftChars="0" w:firstLine="0" w:firstLineChars="0"/>
        <w:jc w:val="both"/>
        <w:outlineLvl w:val="0"/>
        <w:rPr>
          <w:b/>
          <w:bCs/>
          <w:sz w:val="24"/>
          <w:szCs w:val="24"/>
          <w:lang w:val="en-GB" w:eastAsia="pl-PL"/>
        </w:rPr>
      </w:pPr>
      <w:bookmarkStart w:id="8" w:name="_Toc15671"/>
      <w:r>
        <w:rPr>
          <w:b/>
          <w:bCs/>
          <w:sz w:val="24"/>
          <w:szCs w:val="24"/>
          <w:lang w:val="en-GB" w:eastAsia="pl-PL"/>
        </w:rPr>
        <w:t>Research results</w:t>
      </w:r>
      <w:bookmarkEnd w:id="8"/>
    </w:p>
    <w:p w14:paraId="37E09C2F">
      <w:pPr>
        <w:numPr>
          <w:ilvl w:val="0"/>
          <w:numId w:val="0"/>
        </w:numPr>
        <w:spacing w:line="360" w:lineRule="auto"/>
        <w:ind w:leftChars="0"/>
        <w:jc w:val="both"/>
        <w:outlineLvl w:val="0"/>
        <w:rPr>
          <w:b/>
          <w:bCs/>
          <w:sz w:val="24"/>
          <w:szCs w:val="24"/>
          <w:lang w:val="en-GB" w:eastAsia="pl-PL"/>
        </w:rPr>
      </w:pPr>
    </w:p>
    <w:p w14:paraId="1149F520">
      <w:pPr>
        <w:spacing w:line="360" w:lineRule="auto"/>
        <w:jc w:val="both"/>
        <w:outlineLvl w:val="1"/>
        <w:rPr>
          <w:b/>
          <w:bCs/>
          <w:sz w:val="24"/>
          <w:szCs w:val="24"/>
          <w:lang w:val="en-GB" w:eastAsia="pl-PL"/>
        </w:rPr>
      </w:pPr>
      <w:bookmarkStart w:id="9" w:name="_Toc21434"/>
      <w:r>
        <w:rPr>
          <w:b/>
          <w:bCs/>
          <w:sz w:val="24"/>
          <w:szCs w:val="24"/>
          <w:lang w:val="en-GB" w:eastAsia="pl-PL"/>
        </w:rPr>
        <w:t>3.1. Xxxxxx</w:t>
      </w:r>
      <w:bookmarkEnd w:id="9"/>
    </w:p>
    <w:p w14:paraId="656C64C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 (</w:t>
      </w:r>
      <w:r>
        <w:rPr>
          <w:rFonts w:hint="default"/>
          <w:sz w:val="24"/>
          <w:szCs w:val="24"/>
          <w:lang w:val="en-US" w:eastAsia="pl-PL"/>
        </w:rPr>
        <w:t xml:space="preserve">Gozhenko </w:t>
      </w:r>
      <w:r>
        <w:rPr>
          <w:sz w:val="24"/>
          <w:szCs w:val="24"/>
          <w:lang w:val="en-GB" w:eastAsia="pl-PL"/>
        </w:rPr>
        <w:t>et al.</w:t>
      </w:r>
      <w:r>
        <w:rPr>
          <w:rFonts w:hint="default"/>
          <w:sz w:val="24"/>
          <w:szCs w:val="24"/>
          <w:lang w:val="en-US" w:eastAsia="pl-PL"/>
        </w:rPr>
        <w:t>,</w:t>
      </w:r>
      <w:r>
        <w:rPr>
          <w:sz w:val="24"/>
          <w:szCs w:val="24"/>
          <w:lang w:val="en-GB" w:eastAsia="pl-PL"/>
        </w:rPr>
        <w:t xml:space="preserve"> 2015, 2017; </w:t>
      </w:r>
      <w:r>
        <w:rPr>
          <w:rFonts w:hint="default"/>
          <w:sz w:val="24"/>
          <w:szCs w:val="24"/>
          <w:lang w:val="en-US" w:eastAsia="pl-PL"/>
        </w:rPr>
        <w:t xml:space="preserve">Popovych </w:t>
      </w:r>
      <w:r>
        <w:rPr>
          <w:sz w:val="24"/>
          <w:szCs w:val="24"/>
          <w:lang w:val="en-GB" w:eastAsia="pl-PL"/>
        </w:rPr>
        <w:t xml:space="preserve">&amp; </w:t>
      </w:r>
      <w:r>
        <w:rPr>
          <w:rFonts w:hint="default"/>
          <w:sz w:val="24"/>
          <w:szCs w:val="24"/>
          <w:lang w:val="en-US" w:eastAsia="pl-PL"/>
        </w:rPr>
        <w:t>Zukow,</w:t>
      </w:r>
      <w:r>
        <w:rPr>
          <w:sz w:val="24"/>
          <w:szCs w:val="24"/>
          <w:lang w:val="en-GB" w:eastAsia="pl-PL"/>
        </w:rPr>
        <w:t xml:space="preserve"> 2016).</w:t>
      </w:r>
    </w:p>
    <w:p w14:paraId="2111452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 (</w:t>
      </w:r>
      <w:r>
        <w:rPr>
          <w:rFonts w:hint="default"/>
          <w:sz w:val="24"/>
          <w:szCs w:val="24"/>
          <w:lang w:val="en-GB" w:eastAsia="pl-PL"/>
        </w:rPr>
        <w:t>Gozhenko</w:t>
      </w:r>
      <w:r>
        <w:rPr>
          <w:rFonts w:hint="default"/>
          <w:sz w:val="24"/>
          <w:szCs w:val="24"/>
          <w:lang w:val="en-US" w:eastAsia="pl-PL"/>
        </w:rPr>
        <w:t xml:space="preserve"> et al., 2</w:t>
      </w:r>
      <w:r>
        <w:rPr>
          <w:rFonts w:hint="default"/>
          <w:sz w:val="24"/>
          <w:szCs w:val="24"/>
          <w:lang w:val="en-GB" w:eastAsia="pl-PL"/>
        </w:rPr>
        <w:t>019</w:t>
      </w:r>
      <w:r>
        <w:rPr>
          <w:rFonts w:hint="default"/>
          <w:sz w:val="24"/>
          <w:szCs w:val="24"/>
          <w:lang w:val="en-US" w:eastAsia="pl-PL"/>
        </w:rPr>
        <w:t>; 2021</w:t>
      </w:r>
      <w:r>
        <w:rPr>
          <w:rFonts w:hint="default"/>
          <w:sz w:val="24"/>
          <w:szCs w:val="24"/>
          <w:lang w:val="en-GB" w:eastAsia="pl-PL"/>
        </w:rPr>
        <w:t>).</w:t>
      </w:r>
    </w:p>
    <w:p w14:paraId="30BF3C3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r>
        <w:rPr>
          <w:rFonts w:hint="default"/>
          <w:sz w:val="24"/>
          <w:szCs w:val="24"/>
          <w:lang w:val="en-US" w:eastAsia="pl-PL"/>
        </w:rPr>
        <w:t>.</w:t>
      </w:r>
    </w:p>
    <w:p w14:paraId="715BDB79">
      <w:pPr>
        <w:jc w:val="both"/>
        <w:rPr>
          <w:b/>
          <w:bCs/>
          <w:sz w:val="24"/>
          <w:szCs w:val="24"/>
          <w:lang w:val="en-GB" w:eastAsia="pl-PL"/>
        </w:rPr>
      </w:pPr>
    </w:p>
    <w:p w14:paraId="52CF54F1">
      <w:pPr>
        <w:jc w:val="both"/>
        <w:outlineLvl w:val="1"/>
        <w:rPr>
          <w:b/>
          <w:bCs/>
          <w:sz w:val="24"/>
          <w:szCs w:val="24"/>
          <w:lang w:val="en-GB" w:eastAsia="pl-PL"/>
        </w:rPr>
      </w:pPr>
      <w:bookmarkStart w:id="10" w:name="_Toc6321"/>
      <w:r>
        <w:rPr>
          <w:b/>
          <w:bCs/>
          <w:sz w:val="24"/>
          <w:szCs w:val="24"/>
          <w:lang w:val="en-GB" w:eastAsia="pl-PL"/>
        </w:rPr>
        <w:t>3.2. Xxxxxxx</w:t>
      </w:r>
      <w:bookmarkEnd w:id="10"/>
    </w:p>
    <w:p w14:paraId="552A5BB9">
      <w:pPr>
        <w:spacing w:line="360" w:lineRule="auto"/>
        <w:ind w:firstLine="720" w:firstLineChars="0"/>
        <w:jc w:val="both"/>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1221080A">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w:t>
      </w:r>
      <w:r>
        <w:rPr>
          <w:rFonts w:hint="default"/>
          <w:sz w:val="24"/>
          <w:szCs w:val="24"/>
          <w:lang w:val="en-US" w:eastAsia="pl-PL"/>
        </w:rPr>
        <w:t xml:space="preserve"> </w:t>
      </w:r>
      <w:r>
        <w:rPr>
          <w:sz w:val="24"/>
          <w:szCs w:val="24"/>
          <w:lang w:val="en-GB" w:eastAsia="pl-PL"/>
        </w:rPr>
        <w:t>(</w:t>
      </w:r>
      <w:r>
        <w:rPr>
          <w:rFonts w:hint="default"/>
          <w:sz w:val="24"/>
          <w:szCs w:val="24"/>
          <w:lang w:val="en-US" w:eastAsia="pl-PL"/>
        </w:rPr>
        <w:t>Popovych et al., 2000; 2003; 2005</w:t>
      </w:r>
      <w:r>
        <w:rPr>
          <w:sz w:val="24"/>
          <w:szCs w:val="24"/>
          <w:lang w:val="en-GB" w:eastAsia="pl-PL"/>
        </w:rPr>
        <w:t>).</w:t>
      </w:r>
    </w:p>
    <w:p w14:paraId="28C4D405">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7BA315EC">
      <w:pPr>
        <w:spacing w:line="360" w:lineRule="auto"/>
        <w:jc w:val="both"/>
        <w:rPr>
          <w:sz w:val="24"/>
          <w:szCs w:val="24"/>
          <w:lang w:val="en-GB" w:eastAsia="pl-PL"/>
        </w:rPr>
      </w:pPr>
    </w:p>
    <w:p w14:paraId="0BF6DCC2">
      <w:pPr>
        <w:spacing w:line="360" w:lineRule="auto"/>
        <w:jc w:val="both"/>
        <w:outlineLvl w:val="1"/>
        <w:rPr>
          <w:b/>
          <w:bCs/>
          <w:sz w:val="24"/>
          <w:szCs w:val="24"/>
          <w:lang w:val="en-GB" w:eastAsia="pl-PL"/>
        </w:rPr>
      </w:pPr>
      <w:bookmarkStart w:id="11" w:name="_Toc32440"/>
      <w:r>
        <w:rPr>
          <w:b/>
          <w:bCs/>
          <w:sz w:val="24"/>
          <w:szCs w:val="24"/>
          <w:lang w:val="en-GB" w:eastAsia="pl-PL"/>
        </w:rPr>
        <w:t>3.3. Xxxxx</w:t>
      </w:r>
      <w:bookmarkEnd w:id="11"/>
    </w:p>
    <w:p w14:paraId="31385A48">
      <w:pPr>
        <w:spacing w:line="360" w:lineRule="auto"/>
        <w:jc w:val="both"/>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 (Fig</w:t>
      </w:r>
      <w:r>
        <w:rPr>
          <w:rFonts w:hint="default"/>
          <w:sz w:val="24"/>
          <w:szCs w:val="24"/>
          <w:lang w:val="en-US" w:eastAsia="pl-PL"/>
        </w:rPr>
        <w:t>ure</w:t>
      </w:r>
      <w:r>
        <w:rPr>
          <w:sz w:val="24"/>
          <w:szCs w:val="24"/>
          <w:lang w:val="en-GB" w:eastAsia="pl-PL"/>
        </w:rPr>
        <w:t xml:space="preserve"> </w:t>
      </w:r>
      <w:r>
        <w:rPr>
          <w:rFonts w:hint="default"/>
          <w:sz w:val="24"/>
          <w:szCs w:val="24"/>
          <w:lang w:val="en-US" w:eastAsia="pl-PL"/>
        </w:rPr>
        <w:t>1</w:t>
      </w:r>
      <w:r>
        <w:rPr>
          <w:sz w:val="24"/>
          <w:szCs w:val="24"/>
          <w:lang w:val="en-GB" w:eastAsia="pl-PL"/>
        </w:rPr>
        <w:t>).</w:t>
      </w:r>
    </w:p>
    <w:p w14:paraId="15FD6D8C">
      <w:pPr>
        <w:autoSpaceDE w:val="0"/>
        <w:rPr>
          <w:b/>
          <w:bCs/>
          <w:sz w:val="16"/>
          <w:szCs w:val="16"/>
          <w:lang w:val="en-GB"/>
        </w:rPr>
      </w:pPr>
    </w:p>
    <w:p w14:paraId="0059D012">
      <w:r>
        <w:drawing>
          <wp:inline distT="0" distB="0" distL="0" distR="0">
            <wp:extent cx="4572000" cy="2743200"/>
            <wp:effectExtent l="4445" t="4445" r="1460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628E30">
      <w:pPr>
        <w:rPr>
          <w:rFonts w:hint="default"/>
          <w:b w:val="0"/>
          <w:bCs w:val="0"/>
          <w:i w:val="0"/>
          <w:iCs w:val="0"/>
          <w:sz w:val="16"/>
          <w:szCs w:val="16"/>
          <w:lang w:val="pl-PL"/>
        </w:rPr>
      </w:pPr>
      <w:r>
        <w:rPr>
          <w:b w:val="0"/>
          <w:bCs w:val="0"/>
          <w:i w:val="0"/>
          <w:iCs w:val="0"/>
          <w:sz w:val="16"/>
          <w:szCs w:val="16"/>
          <w:lang w:val="en-US"/>
        </w:rPr>
        <w:t xml:space="preserve">Source: </w:t>
      </w:r>
      <w:r>
        <w:rPr>
          <w:rFonts w:hint="default"/>
          <w:b w:val="0"/>
          <w:bCs w:val="0"/>
          <w:i w:val="0"/>
          <w:iCs w:val="0"/>
          <w:sz w:val="16"/>
          <w:szCs w:val="16"/>
          <w:lang w:val="pl-PL"/>
        </w:rPr>
        <w:t>X</w:t>
      </w:r>
      <w:r>
        <w:rPr>
          <w:b w:val="0"/>
          <w:bCs w:val="0"/>
          <w:i w:val="0"/>
          <w:iCs w:val="0"/>
          <w:sz w:val="16"/>
          <w:szCs w:val="16"/>
          <w:lang w:val="en-US"/>
        </w:rPr>
        <w:t>xxxxxxxxxxxxxxxxxxxxxxxxx</w:t>
      </w:r>
      <w:r>
        <w:rPr>
          <w:rFonts w:hint="default"/>
          <w:b w:val="0"/>
          <w:bCs w:val="0"/>
          <w:i w:val="0"/>
          <w:iCs w:val="0"/>
          <w:sz w:val="16"/>
          <w:szCs w:val="16"/>
          <w:lang w:val="pl-PL"/>
        </w:rPr>
        <w:t>.</w:t>
      </w:r>
    </w:p>
    <w:p w14:paraId="0F298945">
      <w:pPr>
        <w:rPr>
          <w:rFonts w:hint="default"/>
          <w:sz w:val="16"/>
          <w:szCs w:val="16"/>
          <w:lang w:val="pl-PL"/>
        </w:rPr>
      </w:pPr>
      <w:r>
        <w:rPr>
          <w:rStyle w:val="55"/>
          <w:b/>
          <w:sz w:val="16"/>
          <w:szCs w:val="16"/>
          <w:lang w:val="en"/>
        </w:rPr>
        <w:t>Fig</w:t>
      </w:r>
      <w:r>
        <w:rPr>
          <w:rStyle w:val="55"/>
          <w:rFonts w:hint="default"/>
          <w:b/>
          <w:sz w:val="16"/>
          <w:szCs w:val="16"/>
          <w:lang w:val="pl-PL"/>
        </w:rPr>
        <w:t>ure</w:t>
      </w:r>
      <w:r>
        <w:rPr>
          <w:rStyle w:val="55"/>
          <w:b/>
          <w:sz w:val="16"/>
          <w:szCs w:val="16"/>
          <w:lang w:val="en"/>
        </w:rPr>
        <w:t>. 1.</w:t>
      </w:r>
      <w:r>
        <w:rPr>
          <w:rStyle w:val="55"/>
          <w:sz w:val="16"/>
          <w:szCs w:val="16"/>
          <w:lang w:val="en"/>
        </w:rPr>
        <w:t xml:space="preserve"> Patterns of variables before (B) and after (A) standard balneotherapy (T) and supplemented “ATINE” (TA) a</w:t>
      </w:r>
      <w:r>
        <w:rPr>
          <w:rStyle w:val="55"/>
          <w:sz w:val="16"/>
          <w:szCs w:val="16"/>
          <w:lang w:val="en-US"/>
        </w:rPr>
        <w:t>s well as</w:t>
      </w:r>
      <w:r>
        <w:rPr>
          <w:rStyle w:val="55"/>
          <w:sz w:val="16"/>
          <w:szCs w:val="16"/>
          <w:lang w:val="en"/>
        </w:rPr>
        <w:t xml:space="preserve"> their changes as effects (E), from which the enhancing immunotropic effects of “ATINE” </w:t>
      </w:r>
      <w:r>
        <w:rPr>
          <w:sz w:val="16"/>
          <w:szCs w:val="16"/>
          <w:lang w:val="en-US"/>
        </w:rPr>
        <w:t>per</w:t>
      </w:r>
      <w:r>
        <w:rPr>
          <w:sz w:val="16"/>
          <w:szCs w:val="16"/>
          <w:lang w:val="uk-UA"/>
        </w:rPr>
        <w:t xml:space="preserve"> </w:t>
      </w:r>
      <w:r>
        <w:rPr>
          <w:sz w:val="16"/>
          <w:szCs w:val="16"/>
          <w:lang w:val="en-US"/>
        </w:rPr>
        <w:t>se</w:t>
      </w:r>
      <w:r>
        <w:rPr>
          <w:rStyle w:val="55"/>
          <w:sz w:val="16"/>
          <w:szCs w:val="16"/>
          <w:lang w:val="en"/>
        </w:rPr>
        <w:t xml:space="preserve"> were </w:t>
      </w:r>
      <w:r>
        <w:rPr>
          <w:rStyle w:val="55"/>
          <w:sz w:val="16"/>
          <w:szCs w:val="16"/>
          <w:lang w:val="pl-PL"/>
        </w:rPr>
        <w:t>calculated.</w:t>
      </w:r>
      <w:r>
        <w:rPr>
          <w:rStyle w:val="55"/>
          <w:rFonts w:hint="default"/>
          <w:sz w:val="16"/>
          <w:szCs w:val="16"/>
          <w:lang w:val="pl-PL"/>
        </w:rPr>
        <w:t xml:space="preserve"> </w:t>
      </w:r>
      <w:r>
        <w:rPr>
          <w:rFonts w:hint="default" w:ascii="Times New Roman" w:hAnsi="Times New Roman" w:cs="Times New Roman"/>
          <w:b/>
          <w:color w:val="0000FF"/>
          <w:sz w:val="16"/>
          <w:szCs w:val="16"/>
          <w:lang w:val="pl-PL"/>
        </w:rPr>
        <w:t>(8 pt</w:t>
      </w:r>
      <w:r>
        <w:rPr>
          <w:rFonts w:hint="default" w:ascii="Times New Roman" w:hAnsi="Times New Roman" w:cs="Times New Roman"/>
          <w:b/>
          <w:color w:val="0000FF"/>
          <w:sz w:val="16"/>
          <w:szCs w:val="16"/>
          <w:lang w:val="en-US"/>
        </w:rPr>
        <w:t xml:space="preserve"> Times New Roman, Bold, Left</w:t>
      </w:r>
      <w:r>
        <w:rPr>
          <w:rFonts w:hint="default" w:ascii="Times New Roman" w:hAnsi="Times New Roman" w:cs="Times New Roman"/>
          <w:b/>
          <w:color w:val="0000FF"/>
          <w:sz w:val="16"/>
          <w:szCs w:val="16"/>
          <w:lang w:val="pl-PL"/>
        </w:rPr>
        <w:t>)</w:t>
      </w:r>
    </w:p>
    <w:p w14:paraId="3D2D5AEF">
      <w:pPr>
        <w:spacing w:line="360" w:lineRule="auto"/>
        <w:jc w:val="both"/>
        <w:rPr>
          <w:sz w:val="24"/>
          <w:szCs w:val="24"/>
          <w:lang w:val="en-GB" w:eastAsia="pl-PL"/>
        </w:rPr>
      </w:pPr>
    </w:p>
    <w:p w14:paraId="3C62A3C3">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 (Table 1).</w:t>
      </w:r>
    </w:p>
    <w:p w14:paraId="18885216">
      <w:pPr>
        <w:spacing w:line="360" w:lineRule="auto"/>
        <w:jc w:val="both"/>
        <w:rPr>
          <w:sz w:val="24"/>
          <w:szCs w:val="24"/>
          <w:lang w:val="en-GB" w:eastAsia="pl-PL"/>
        </w:rPr>
      </w:pPr>
    </w:p>
    <w:p w14:paraId="4FB70F76">
      <w:pPr>
        <w:keepNext w:val="0"/>
        <w:keepLines w:val="0"/>
        <w:pageBreakBefore w:val="0"/>
        <w:widowControl/>
        <w:tabs>
          <w:tab w:val="center" w:pos="4153"/>
          <w:tab w:val="right" w:pos="8306"/>
        </w:tabs>
        <w:kinsoku/>
        <w:wordWrap/>
        <w:overflowPunct/>
        <w:topLinePunct w:val="0"/>
        <w:autoSpaceDE/>
        <w:autoSpaceDN/>
        <w:bidi w:val="0"/>
        <w:adjustRightInd/>
        <w:snapToGrid/>
        <w:jc w:val="both"/>
        <w:textAlignment w:val="auto"/>
        <w:rPr>
          <w:rFonts w:hint="default"/>
          <w:sz w:val="16"/>
          <w:szCs w:val="16"/>
          <w:lang w:val="pl-PL"/>
        </w:rPr>
      </w:pPr>
      <w:r>
        <w:rPr>
          <w:rStyle w:val="55"/>
          <w:b/>
          <w:sz w:val="16"/>
          <w:szCs w:val="16"/>
          <w:lang w:val="en"/>
        </w:rPr>
        <w:t>Table 1.</w:t>
      </w:r>
      <w:r>
        <w:rPr>
          <w:rStyle w:val="55"/>
          <w:sz w:val="16"/>
          <w:szCs w:val="16"/>
          <w:lang w:val="en"/>
        </w:rPr>
        <w:t xml:space="preserve"> Comparative effect of two rehabilitation schemes on the phagocytic </w:t>
      </w:r>
      <w:r>
        <w:rPr>
          <w:rStyle w:val="55"/>
          <w:sz w:val="16"/>
          <w:szCs w:val="16"/>
          <w:lang w:val="en-US"/>
        </w:rPr>
        <w:t>link</w:t>
      </w:r>
      <w:r>
        <w:rPr>
          <w:rStyle w:val="55"/>
          <w:sz w:val="16"/>
          <w:szCs w:val="16"/>
          <w:lang w:val="en"/>
        </w:rPr>
        <w:t xml:space="preserve"> of immunity</w:t>
      </w:r>
      <w:r>
        <w:rPr>
          <w:rStyle w:val="55"/>
          <w:rFonts w:hint="default"/>
          <w:sz w:val="16"/>
          <w:szCs w:val="16"/>
          <w:lang w:val="pl-PL"/>
        </w:rPr>
        <w:t xml:space="preserve">. </w:t>
      </w:r>
      <w:r>
        <w:rPr>
          <w:rFonts w:hint="default" w:ascii="Times New Roman" w:hAnsi="Times New Roman" w:cs="Times New Roman"/>
          <w:b/>
          <w:color w:val="0000FF"/>
          <w:sz w:val="16"/>
          <w:szCs w:val="16"/>
          <w:lang w:val="pl-PL"/>
        </w:rPr>
        <w:t>(8 pt</w:t>
      </w:r>
      <w:r>
        <w:rPr>
          <w:rFonts w:hint="default" w:ascii="Times New Roman" w:hAnsi="Times New Roman" w:cs="Times New Roman"/>
          <w:b/>
          <w:color w:val="0000FF"/>
          <w:sz w:val="16"/>
          <w:szCs w:val="16"/>
          <w:lang w:val="en-US"/>
        </w:rPr>
        <w:t xml:space="preserve"> Times New Roman, Bold, Left</w:t>
      </w:r>
      <w:r>
        <w:rPr>
          <w:rFonts w:hint="default" w:ascii="Times New Roman" w:hAnsi="Times New Roman" w:cs="Times New Roman"/>
          <w:b/>
          <w:color w:val="0000FF"/>
          <w:sz w:val="16"/>
          <w:szCs w:val="16"/>
          <w:lang w:val="pl-PL"/>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944"/>
        <w:gridCol w:w="952"/>
        <w:gridCol w:w="952"/>
        <w:gridCol w:w="944"/>
        <w:gridCol w:w="952"/>
        <w:gridCol w:w="952"/>
        <w:gridCol w:w="944"/>
        <w:gridCol w:w="496"/>
      </w:tblGrid>
      <w:tr w14:paraId="614B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77BFB848">
            <w:pPr>
              <w:spacing w:after="0" w:line="240" w:lineRule="auto"/>
              <w:rPr>
                <w:b/>
                <w:bCs/>
                <w:sz w:val="16"/>
                <w:szCs w:val="16"/>
                <w:lang w:val="en-US"/>
              </w:rPr>
            </w:pPr>
          </w:p>
          <w:p w14:paraId="4B62BE5F">
            <w:pPr>
              <w:spacing w:after="0" w:line="240" w:lineRule="auto"/>
              <w:rPr>
                <w:b/>
                <w:bCs/>
                <w:sz w:val="16"/>
                <w:szCs w:val="16"/>
                <w:lang w:val="en-US"/>
              </w:rPr>
            </w:pPr>
            <w:r>
              <w:rPr>
                <w:b/>
                <w:bCs/>
                <w:sz w:val="16"/>
                <w:szCs w:val="16"/>
                <w:lang w:val="en-US"/>
              </w:rPr>
              <w:t>Variables</w:t>
            </w:r>
          </w:p>
        </w:tc>
        <w:tc>
          <w:tcPr>
            <w:tcW w:w="0" w:type="auto"/>
            <w:vMerge w:val="restart"/>
          </w:tcPr>
          <w:p w14:paraId="5ED26657">
            <w:pPr>
              <w:spacing w:after="0" w:line="240" w:lineRule="auto"/>
              <w:rPr>
                <w:b/>
                <w:bCs/>
                <w:sz w:val="16"/>
                <w:szCs w:val="16"/>
                <w:lang w:val="en-US"/>
              </w:rPr>
            </w:pPr>
            <w:r>
              <w:rPr>
                <w:b/>
                <w:bCs/>
                <w:sz w:val="16"/>
                <w:szCs w:val="16"/>
                <w:lang w:val="en-US"/>
              </w:rPr>
              <w:t>Reference</w:t>
            </w:r>
          </w:p>
          <w:p w14:paraId="6650A5E4">
            <w:pPr>
              <w:spacing w:after="0" w:line="240" w:lineRule="auto"/>
              <w:rPr>
                <w:b/>
                <w:bCs/>
                <w:sz w:val="16"/>
                <w:szCs w:val="16"/>
                <w:lang w:val="en-US"/>
              </w:rPr>
            </w:pPr>
            <w:r>
              <w:rPr>
                <w:b/>
                <w:bCs/>
                <w:sz w:val="16"/>
                <w:szCs w:val="16"/>
                <w:lang w:val="en-US"/>
              </w:rPr>
              <w:t>level (</w:t>
            </w:r>
            <w:r>
              <w:rPr>
                <w:b/>
                <w:bCs/>
                <w:sz w:val="16"/>
                <w:szCs w:val="16"/>
                <w:lang w:val="uk-UA"/>
              </w:rPr>
              <w:t>30</w:t>
            </w:r>
            <w:r>
              <w:rPr>
                <w:b/>
                <w:bCs/>
                <w:sz w:val="16"/>
                <w:szCs w:val="16"/>
                <w:lang w:val="en-US"/>
              </w:rPr>
              <w:t>)</w:t>
            </w:r>
          </w:p>
        </w:tc>
        <w:tc>
          <w:tcPr>
            <w:tcW w:w="0" w:type="auto"/>
            <w:gridSpan w:val="3"/>
          </w:tcPr>
          <w:p w14:paraId="307358DB">
            <w:pPr>
              <w:spacing w:after="0" w:line="240" w:lineRule="auto"/>
              <w:jc w:val="center"/>
              <w:rPr>
                <w:b/>
                <w:bCs/>
                <w:sz w:val="16"/>
                <w:szCs w:val="16"/>
                <w:lang w:val="en-US"/>
              </w:rPr>
            </w:pPr>
            <w:r>
              <w:rPr>
                <w:b/>
                <w:bCs/>
                <w:sz w:val="16"/>
                <w:szCs w:val="16"/>
                <w:lang w:val="en-US"/>
              </w:rPr>
              <w:t>Control group (25)</w:t>
            </w:r>
          </w:p>
        </w:tc>
        <w:tc>
          <w:tcPr>
            <w:tcW w:w="0" w:type="auto"/>
            <w:gridSpan w:val="3"/>
          </w:tcPr>
          <w:p w14:paraId="33C7B61D">
            <w:pPr>
              <w:spacing w:after="0" w:line="240" w:lineRule="auto"/>
              <w:jc w:val="center"/>
              <w:rPr>
                <w:b/>
                <w:bCs/>
                <w:sz w:val="16"/>
                <w:szCs w:val="16"/>
                <w:lang w:val="en-US"/>
              </w:rPr>
            </w:pPr>
            <w:r>
              <w:rPr>
                <w:b/>
                <w:bCs/>
                <w:sz w:val="16"/>
                <w:szCs w:val="16"/>
                <w:lang w:val="en-US"/>
              </w:rPr>
              <w:t>Main group (27)</w:t>
            </w:r>
          </w:p>
        </w:tc>
        <w:tc>
          <w:tcPr>
            <w:tcW w:w="0" w:type="auto"/>
            <w:vMerge w:val="restart"/>
          </w:tcPr>
          <w:p w14:paraId="6DEE1970">
            <w:pPr>
              <w:spacing w:after="0" w:line="240" w:lineRule="auto"/>
              <w:jc w:val="center"/>
              <w:rPr>
                <w:b/>
                <w:bCs/>
                <w:sz w:val="16"/>
                <w:szCs w:val="16"/>
                <w:lang w:val="en-US"/>
              </w:rPr>
            </w:pPr>
            <w:r>
              <w:rPr>
                <w:b/>
                <w:bCs/>
                <w:sz w:val="16"/>
                <w:szCs w:val="16"/>
                <w:lang w:val="en-US"/>
              </w:rPr>
              <w:t>t</w:t>
            </w:r>
          </w:p>
          <w:p w14:paraId="7E1E272D">
            <w:pPr>
              <w:spacing w:after="0" w:line="240" w:lineRule="auto"/>
              <w:jc w:val="center"/>
              <w:rPr>
                <w:sz w:val="16"/>
                <w:szCs w:val="16"/>
                <w:lang w:val="en-US"/>
              </w:rPr>
            </w:pPr>
            <w:r>
              <w:rPr>
                <w:b/>
                <w:bCs/>
                <w:sz w:val="16"/>
                <w:szCs w:val="16"/>
                <w:lang w:val="en-US"/>
              </w:rPr>
              <w:t>Ch</w:t>
            </w:r>
          </w:p>
        </w:tc>
      </w:tr>
      <w:tr w14:paraId="78DD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DAEA659">
            <w:pPr>
              <w:spacing w:after="0" w:line="240" w:lineRule="auto"/>
              <w:rPr>
                <w:b/>
                <w:bCs/>
                <w:sz w:val="16"/>
                <w:szCs w:val="16"/>
              </w:rPr>
            </w:pPr>
          </w:p>
        </w:tc>
        <w:tc>
          <w:tcPr>
            <w:tcW w:w="0" w:type="auto"/>
            <w:vMerge w:val="continue"/>
          </w:tcPr>
          <w:p w14:paraId="52E8300D">
            <w:pPr>
              <w:spacing w:after="0" w:line="240" w:lineRule="auto"/>
              <w:rPr>
                <w:b/>
                <w:bCs/>
                <w:sz w:val="16"/>
                <w:szCs w:val="16"/>
              </w:rPr>
            </w:pPr>
          </w:p>
        </w:tc>
        <w:tc>
          <w:tcPr>
            <w:tcW w:w="0" w:type="auto"/>
          </w:tcPr>
          <w:p w14:paraId="480FEA95">
            <w:pPr>
              <w:spacing w:after="0" w:line="240" w:lineRule="auto"/>
              <w:rPr>
                <w:b/>
                <w:bCs/>
                <w:sz w:val="16"/>
                <w:szCs w:val="16"/>
                <w:lang w:val="en-US"/>
              </w:rPr>
            </w:pPr>
            <w:r>
              <w:rPr>
                <w:b/>
                <w:bCs/>
                <w:sz w:val="16"/>
                <w:szCs w:val="16"/>
                <w:lang w:val="en-US"/>
              </w:rPr>
              <w:t>Before</w:t>
            </w:r>
          </w:p>
        </w:tc>
        <w:tc>
          <w:tcPr>
            <w:tcW w:w="0" w:type="auto"/>
          </w:tcPr>
          <w:p w14:paraId="62E1E859">
            <w:pPr>
              <w:spacing w:after="0" w:line="240" w:lineRule="auto"/>
              <w:rPr>
                <w:b/>
                <w:bCs/>
                <w:sz w:val="16"/>
                <w:szCs w:val="16"/>
                <w:lang w:val="en-US"/>
              </w:rPr>
            </w:pPr>
            <w:r>
              <w:rPr>
                <w:b/>
                <w:bCs/>
                <w:sz w:val="16"/>
                <w:szCs w:val="16"/>
                <w:lang w:val="en-US"/>
              </w:rPr>
              <w:t>After</w:t>
            </w:r>
          </w:p>
        </w:tc>
        <w:tc>
          <w:tcPr>
            <w:tcW w:w="0" w:type="auto"/>
          </w:tcPr>
          <w:p w14:paraId="00299D84">
            <w:pPr>
              <w:spacing w:after="0" w:line="240" w:lineRule="auto"/>
              <w:rPr>
                <w:b/>
                <w:bCs/>
                <w:sz w:val="16"/>
                <w:szCs w:val="16"/>
                <w:lang w:val="en-US"/>
              </w:rPr>
            </w:pPr>
            <w:r>
              <w:rPr>
                <w:b/>
                <w:bCs/>
                <w:sz w:val="16"/>
                <w:szCs w:val="16"/>
                <w:lang w:val="en-US"/>
              </w:rPr>
              <w:t>Change</w:t>
            </w:r>
          </w:p>
        </w:tc>
        <w:tc>
          <w:tcPr>
            <w:tcW w:w="0" w:type="auto"/>
          </w:tcPr>
          <w:p w14:paraId="7B37F14C">
            <w:pPr>
              <w:spacing w:after="0" w:line="240" w:lineRule="auto"/>
              <w:rPr>
                <w:b/>
                <w:bCs/>
                <w:sz w:val="16"/>
                <w:szCs w:val="16"/>
                <w:lang w:val="en-US"/>
              </w:rPr>
            </w:pPr>
            <w:r>
              <w:rPr>
                <w:b/>
                <w:bCs/>
                <w:sz w:val="16"/>
                <w:szCs w:val="16"/>
                <w:lang w:val="en-US"/>
              </w:rPr>
              <w:t>Before</w:t>
            </w:r>
          </w:p>
        </w:tc>
        <w:tc>
          <w:tcPr>
            <w:tcW w:w="0" w:type="auto"/>
          </w:tcPr>
          <w:p w14:paraId="1A10D7BC">
            <w:pPr>
              <w:spacing w:after="0" w:line="240" w:lineRule="auto"/>
              <w:rPr>
                <w:b/>
                <w:bCs/>
                <w:sz w:val="16"/>
                <w:szCs w:val="16"/>
                <w:lang w:val="en-US"/>
              </w:rPr>
            </w:pPr>
            <w:r>
              <w:rPr>
                <w:b/>
                <w:bCs/>
                <w:sz w:val="16"/>
                <w:szCs w:val="16"/>
                <w:lang w:val="en-US"/>
              </w:rPr>
              <w:t>After</w:t>
            </w:r>
          </w:p>
        </w:tc>
        <w:tc>
          <w:tcPr>
            <w:tcW w:w="0" w:type="auto"/>
          </w:tcPr>
          <w:p w14:paraId="018528F1">
            <w:pPr>
              <w:spacing w:after="0" w:line="240" w:lineRule="auto"/>
              <w:rPr>
                <w:b/>
                <w:bCs/>
                <w:sz w:val="16"/>
                <w:szCs w:val="16"/>
                <w:lang w:val="en-US"/>
              </w:rPr>
            </w:pPr>
            <w:r>
              <w:rPr>
                <w:b/>
                <w:bCs/>
                <w:sz w:val="16"/>
                <w:szCs w:val="16"/>
                <w:lang w:val="en-US"/>
              </w:rPr>
              <w:t>Change</w:t>
            </w:r>
          </w:p>
        </w:tc>
        <w:tc>
          <w:tcPr>
            <w:tcW w:w="0" w:type="auto"/>
            <w:vMerge w:val="continue"/>
          </w:tcPr>
          <w:p w14:paraId="1708BC60">
            <w:pPr>
              <w:spacing w:after="0" w:line="240" w:lineRule="auto"/>
              <w:rPr>
                <w:sz w:val="16"/>
                <w:szCs w:val="16"/>
                <w:lang w:val="en-US"/>
              </w:rPr>
            </w:pPr>
          </w:p>
        </w:tc>
      </w:tr>
      <w:tr w14:paraId="509A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135F6E">
            <w:pPr>
              <w:spacing w:after="0" w:line="240" w:lineRule="auto"/>
              <w:rPr>
                <w:b/>
                <w:bCs/>
                <w:sz w:val="16"/>
                <w:szCs w:val="16"/>
                <w:lang w:val="en-US"/>
              </w:rPr>
            </w:pPr>
            <w:r>
              <w:rPr>
                <w:b/>
                <w:bCs/>
                <w:sz w:val="16"/>
                <w:szCs w:val="16"/>
                <w:lang w:val="en-US"/>
              </w:rPr>
              <w:t>Leukocytes,</w:t>
            </w:r>
          </w:p>
          <w:p w14:paraId="19E95DA6">
            <w:pPr>
              <w:spacing w:after="0" w:line="240" w:lineRule="auto"/>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/L</w:t>
            </w:r>
          </w:p>
        </w:tc>
        <w:tc>
          <w:tcPr>
            <w:tcW w:w="0" w:type="auto"/>
          </w:tcPr>
          <w:p w14:paraId="4DF5436C">
            <w:pPr>
              <w:spacing w:after="0" w:line="240" w:lineRule="auto"/>
              <w:rPr>
                <w:sz w:val="16"/>
                <w:szCs w:val="16"/>
                <w:lang w:val="en-US"/>
              </w:rPr>
            </w:pPr>
            <w:r>
              <w:rPr>
                <w:sz w:val="16"/>
                <w:szCs w:val="16"/>
                <w:lang w:val="en-US"/>
              </w:rPr>
              <w:t>5,00±0,09</w:t>
            </w:r>
          </w:p>
          <w:p w14:paraId="6CC1F088">
            <w:pPr>
              <w:spacing w:after="0" w:line="240" w:lineRule="auto"/>
              <w:rPr>
                <w:sz w:val="16"/>
                <w:szCs w:val="16"/>
                <w:lang w:val="en-US"/>
              </w:rPr>
            </w:pPr>
            <w:r>
              <w:rPr>
                <w:sz w:val="16"/>
                <w:szCs w:val="16"/>
                <w:lang w:val="uk-UA"/>
              </w:rPr>
              <w:t>0</w:t>
            </w:r>
            <w:r>
              <w:rPr>
                <w:sz w:val="16"/>
                <w:szCs w:val="16"/>
                <w:lang w:val="en-US"/>
              </w:rPr>
              <w:t>,100</w:t>
            </w:r>
          </w:p>
        </w:tc>
        <w:tc>
          <w:tcPr>
            <w:tcW w:w="0" w:type="auto"/>
          </w:tcPr>
          <w:p w14:paraId="3AC81DAA">
            <w:pPr>
              <w:spacing w:after="0" w:line="240" w:lineRule="auto"/>
              <w:rPr>
                <w:sz w:val="16"/>
                <w:szCs w:val="16"/>
                <w:lang w:val="en-US"/>
              </w:rPr>
            </w:pPr>
            <w:r>
              <w:rPr>
                <w:sz w:val="16"/>
                <w:szCs w:val="16"/>
                <w:lang w:val="en-US"/>
              </w:rPr>
              <w:t>5,35±0,28</w:t>
            </w:r>
          </w:p>
          <w:p w14:paraId="1D05B181">
            <w:pPr>
              <w:spacing w:after="0" w:line="240" w:lineRule="auto"/>
              <w:rPr>
                <w:sz w:val="16"/>
                <w:szCs w:val="16"/>
                <w:lang w:val="en-US"/>
              </w:rPr>
            </w:pPr>
            <w:r>
              <w:rPr>
                <w:sz w:val="16"/>
                <w:szCs w:val="16"/>
                <w:lang w:val="en-US"/>
              </w:rPr>
              <w:t>0,70±0,57</w:t>
            </w:r>
          </w:p>
        </w:tc>
        <w:tc>
          <w:tcPr>
            <w:tcW w:w="0" w:type="auto"/>
          </w:tcPr>
          <w:p w14:paraId="526FCA0D">
            <w:pPr>
              <w:spacing w:after="0" w:line="240" w:lineRule="auto"/>
              <w:rPr>
                <w:sz w:val="16"/>
                <w:szCs w:val="16"/>
                <w:lang w:val="en-US"/>
              </w:rPr>
            </w:pPr>
            <w:r>
              <w:rPr>
                <w:sz w:val="16"/>
                <w:szCs w:val="16"/>
                <w:lang w:val="en-US"/>
              </w:rPr>
              <w:t>5,35±0,29</w:t>
            </w:r>
          </w:p>
          <w:p w14:paraId="51B6B87E">
            <w:pPr>
              <w:spacing w:after="0" w:line="240" w:lineRule="auto"/>
              <w:rPr>
                <w:sz w:val="16"/>
                <w:szCs w:val="16"/>
                <w:lang w:val="en-US"/>
              </w:rPr>
            </w:pPr>
            <w:r>
              <w:rPr>
                <w:sz w:val="16"/>
                <w:szCs w:val="16"/>
                <w:lang w:val="en-US"/>
              </w:rPr>
              <w:t>0,70±0,59</w:t>
            </w:r>
          </w:p>
        </w:tc>
        <w:tc>
          <w:tcPr>
            <w:tcW w:w="0" w:type="auto"/>
          </w:tcPr>
          <w:p w14:paraId="14352ED1">
            <w:pPr>
              <w:spacing w:after="0" w:line="240" w:lineRule="auto"/>
              <w:rPr>
                <w:sz w:val="16"/>
                <w:szCs w:val="16"/>
                <w:lang w:val="en-US"/>
              </w:rPr>
            </w:pPr>
            <w:r>
              <w:rPr>
                <w:sz w:val="16"/>
                <w:szCs w:val="16"/>
                <w:lang w:val="en-US"/>
              </w:rPr>
              <w:t>0,00±0,21</w:t>
            </w:r>
          </w:p>
          <w:p w14:paraId="27BAAC9C">
            <w:pPr>
              <w:spacing w:after="0" w:line="240" w:lineRule="auto"/>
              <w:rPr>
                <w:sz w:val="16"/>
                <w:szCs w:val="16"/>
                <w:lang w:val="en-US"/>
              </w:rPr>
            </w:pPr>
            <w:r>
              <w:rPr>
                <w:sz w:val="16"/>
                <w:szCs w:val="16"/>
                <w:lang w:val="en-US"/>
              </w:rPr>
              <w:t>0,01±0,43</w:t>
            </w:r>
          </w:p>
        </w:tc>
        <w:tc>
          <w:tcPr>
            <w:tcW w:w="0" w:type="auto"/>
          </w:tcPr>
          <w:p w14:paraId="31747B30">
            <w:pPr>
              <w:spacing w:after="0" w:line="240" w:lineRule="auto"/>
              <w:rPr>
                <w:sz w:val="16"/>
                <w:szCs w:val="16"/>
                <w:lang w:val="en-US"/>
              </w:rPr>
            </w:pPr>
            <w:r>
              <w:rPr>
                <w:sz w:val="16"/>
                <w:szCs w:val="16"/>
                <w:lang w:val="en-US"/>
              </w:rPr>
              <w:t>4,96±0,24</w:t>
            </w:r>
          </w:p>
          <w:p w14:paraId="6F35D6C2">
            <w:pPr>
              <w:spacing w:after="0" w:line="240" w:lineRule="auto"/>
              <w:rPr>
                <w:sz w:val="16"/>
                <w:szCs w:val="16"/>
                <w:lang w:val="en-US"/>
              </w:rPr>
            </w:pPr>
            <w:r>
              <w:rPr>
                <w:sz w:val="16"/>
                <w:szCs w:val="16"/>
                <w:lang w:val="en-US"/>
              </w:rPr>
              <w:t>-0,08±0,47</w:t>
            </w:r>
          </w:p>
        </w:tc>
        <w:tc>
          <w:tcPr>
            <w:tcW w:w="0" w:type="auto"/>
          </w:tcPr>
          <w:p w14:paraId="1D11B232">
            <w:pPr>
              <w:spacing w:after="0" w:line="240" w:lineRule="auto"/>
              <w:rPr>
                <w:sz w:val="16"/>
                <w:szCs w:val="16"/>
                <w:lang w:val="en-US"/>
              </w:rPr>
            </w:pPr>
            <w:r>
              <w:rPr>
                <w:sz w:val="16"/>
                <w:szCs w:val="16"/>
                <w:lang w:val="en-US"/>
              </w:rPr>
              <w:t>5,12±0,23</w:t>
            </w:r>
          </w:p>
          <w:p w14:paraId="340883D6">
            <w:pPr>
              <w:spacing w:after="0" w:line="240" w:lineRule="auto"/>
              <w:rPr>
                <w:sz w:val="16"/>
                <w:szCs w:val="16"/>
                <w:lang w:val="en-US"/>
              </w:rPr>
            </w:pPr>
            <w:r>
              <w:rPr>
                <w:sz w:val="16"/>
                <w:szCs w:val="16"/>
                <w:lang w:val="en-US"/>
              </w:rPr>
              <w:t>0,23±0,46</w:t>
            </w:r>
          </w:p>
        </w:tc>
        <w:tc>
          <w:tcPr>
            <w:tcW w:w="0" w:type="auto"/>
          </w:tcPr>
          <w:p w14:paraId="6E871794">
            <w:pPr>
              <w:spacing w:after="0" w:line="240" w:lineRule="auto"/>
              <w:rPr>
                <w:sz w:val="16"/>
                <w:szCs w:val="16"/>
                <w:lang w:val="en-US"/>
              </w:rPr>
            </w:pPr>
            <w:r>
              <w:rPr>
                <w:sz w:val="16"/>
                <w:szCs w:val="16"/>
                <w:lang w:val="en-US"/>
              </w:rPr>
              <w:t>0,16±0,28</w:t>
            </w:r>
          </w:p>
          <w:p w14:paraId="4C71FB2A">
            <w:pPr>
              <w:spacing w:after="0" w:line="240" w:lineRule="auto"/>
              <w:rPr>
                <w:sz w:val="16"/>
                <w:szCs w:val="16"/>
                <w:lang w:val="en-US"/>
              </w:rPr>
            </w:pPr>
            <w:r>
              <w:rPr>
                <w:sz w:val="16"/>
                <w:szCs w:val="16"/>
                <w:lang w:val="en-US"/>
              </w:rPr>
              <w:t>0,31±0,55</w:t>
            </w:r>
          </w:p>
        </w:tc>
        <w:tc>
          <w:tcPr>
            <w:tcW w:w="0" w:type="auto"/>
          </w:tcPr>
          <w:p w14:paraId="7CF259D7">
            <w:pPr>
              <w:spacing w:after="0" w:line="240" w:lineRule="auto"/>
              <w:rPr>
                <w:sz w:val="16"/>
                <w:szCs w:val="16"/>
                <w:lang w:val="en-US"/>
              </w:rPr>
            </w:pPr>
            <w:r>
              <w:rPr>
                <w:sz w:val="16"/>
                <w:szCs w:val="16"/>
                <w:lang w:val="en-US"/>
              </w:rPr>
              <w:t>0,44</w:t>
            </w:r>
          </w:p>
        </w:tc>
      </w:tr>
      <w:tr w14:paraId="05C3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FD7EEC">
            <w:pPr>
              <w:spacing w:after="0" w:line="240" w:lineRule="auto"/>
              <w:rPr>
                <w:b/>
                <w:bCs/>
                <w:sz w:val="16"/>
                <w:szCs w:val="16"/>
                <w:lang w:val="en-US"/>
              </w:rPr>
            </w:pPr>
            <w:r>
              <w:rPr>
                <w:b/>
                <w:bCs/>
                <w:sz w:val="16"/>
                <w:szCs w:val="16"/>
                <w:lang w:val="en-US"/>
              </w:rPr>
              <w:t>Neutrophils,</w:t>
            </w:r>
          </w:p>
          <w:p w14:paraId="6D53FF88">
            <w:pPr>
              <w:spacing w:after="0" w:line="240" w:lineRule="auto"/>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/L</w:t>
            </w:r>
          </w:p>
        </w:tc>
        <w:tc>
          <w:tcPr>
            <w:tcW w:w="0" w:type="auto"/>
          </w:tcPr>
          <w:p w14:paraId="0FA0A72C">
            <w:pPr>
              <w:spacing w:after="0" w:line="240" w:lineRule="auto"/>
              <w:rPr>
                <w:sz w:val="16"/>
                <w:szCs w:val="16"/>
                <w:lang w:val="en-US"/>
              </w:rPr>
            </w:pPr>
            <w:r>
              <w:rPr>
                <w:sz w:val="16"/>
                <w:szCs w:val="16"/>
                <w:lang w:val="en-US"/>
              </w:rPr>
              <w:t>2,96±0,05</w:t>
            </w:r>
          </w:p>
          <w:p w14:paraId="4FA541FE">
            <w:pPr>
              <w:spacing w:after="0" w:line="240" w:lineRule="auto"/>
              <w:rPr>
                <w:sz w:val="16"/>
                <w:szCs w:val="16"/>
                <w:lang w:val="en-US"/>
              </w:rPr>
            </w:pPr>
            <w:r>
              <w:rPr>
                <w:sz w:val="16"/>
                <w:szCs w:val="16"/>
                <w:lang w:val="uk-UA"/>
              </w:rPr>
              <w:t>0</w:t>
            </w:r>
            <w:r>
              <w:rPr>
                <w:sz w:val="16"/>
                <w:szCs w:val="16"/>
                <w:lang w:val="en-US"/>
              </w:rPr>
              <w:t>,100</w:t>
            </w:r>
          </w:p>
        </w:tc>
        <w:tc>
          <w:tcPr>
            <w:tcW w:w="0" w:type="auto"/>
          </w:tcPr>
          <w:p w14:paraId="7B807643">
            <w:pPr>
              <w:spacing w:after="0" w:line="240" w:lineRule="auto"/>
              <w:rPr>
                <w:sz w:val="16"/>
                <w:szCs w:val="16"/>
                <w:lang w:val="en-US"/>
              </w:rPr>
            </w:pPr>
            <w:r>
              <w:rPr>
                <w:sz w:val="16"/>
                <w:szCs w:val="16"/>
                <w:lang w:val="en-US"/>
              </w:rPr>
              <w:t>3,03±0,16</w:t>
            </w:r>
          </w:p>
          <w:p w14:paraId="14720F8D">
            <w:pPr>
              <w:spacing w:after="0" w:line="240" w:lineRule="auto"/>
              <w:rPr>
                <w:sz w:val="16"/>
                <w:szCs w:val="16"/>
                <w:lang w:val="en-US"/>
              </w:rPr>
            </w:pPr>
            <w:r>
              <w:rPr>
                <w:sz w:val="16"/>
                <w:szCs w:val="16"/>
                <w:lang w:val="en-US"/>
              </w:rPr>
              <w:t>0,25±0,55</w:t>
            </w:r>
          </w:p>
        </w:tc>
        <w:tc>
          <w:tcPr>
            <w:tcW w:w="0" w:type="auto"/>
          </w:tcPr>
          <w:p w14:paraId="7D05852D">
            <w:pPr>
              <w:spacing w:after="0" w:line="240" w:lineRule="auto"/>
              <w:rPr>
                <w:sz w:val="16"/>
                <w:szCs w:val="16"/>
                <w:lang w:val="en-US"/>
              </w:rPr>
            </w:pPr>
            <w:r>
              <w:rPr>
                <w:sz w:val="16"/>
                <w:szCs w:val="16"/>
                <w:lang w:val="en-US"/>
              </w:rPr>
              <w:t>2,94±0,17</w:t>
            </w:r>
          </w:p>
          <w:p w14:paraId="5BEE9F20">
            <w:pPr>
              <w:spacing w:after="0" w:line="240" w:lineRule="auto"/>
              <w:rPr>
                <w:sz w:val="16"/>
                <w:szCs w:val="16"/>
                <w:lang w:val="en-US"/>
              </w:rPr>
            </w:pPr>
            <w:r>
              <w:rPr>
                <w:sz w:val="16"/>
                <w:szCs w:val="16"/>
                <w:lang w:val="en-US"/>
              </w:rPr>
              <w:t>-0,06±0,58</w:t>
            </w:r>
          </w:p>
        </w:tc>
        <w:tc>
          <w:tcPr>
            <w:tcW w:w="0" w:type="auto"/>
          </w:tcPr>
          <w:p w14:paraId="43C3A657">
            <w:pPr>
              <w:spacing w:after="0" w:line="240" w:lineRule="auto"/>
              <w:rPr>
                <w:sz w:val="16"/>
                <w:szCs w:val="16"/>
                <w:lang w:val="en-US"/>
              </w:rPr>
            </w:pPr>
            <w:r>
              <w:rPr>
                <w:sz w:val="16"/>
                <w:szCs w:val="16"/>
                <w:lang w:val="en-US"/>
              </w:rPr>
              <w:t>-0,09±0,15</w:t>
            </w:r>
          </w:p>
          <w:p w14:paraId="76B75F26">
            <w:pPr>
              <w:spacing w:after="0" w:line="240" w:lineRule="auto"/>
              <w:rPr>
                <w:sz w:val="16"/>
                <w:szCs w:val="16"/>
                <w:lang w:val="en-US"/>
              </w:rPr>
            </w:pPr>
            <w:r>
              <w:rPr>
                <w:sz w:val="16"/>
                <w:szCs w:val="16"/>
                <w:lang w:val="en-US"/>
              </w:rPr>
              <w:t>-0,31±0,52</w:t>
            </w:r>
          </w:p>
        </w:tc>
        <w:tc>
          <w:tcPr>
            <w:tcW w:w="0" w:type="auto"/>
          </w:tcPr>
          <w:p w14:paraId="7E2D9CFA">
            <w:pPr>
              <w:spacing w:after="0" w:line="240" w:lineRule="auto"/>
              <w:rPr>
                <w:sz w:val="16"/>
                <w:szCs w:val="16"/>
                <w:lang w:val="en-US"/>
              </w:rPr>
            </w:pPr>
            <w:r>
              <w:rPr>
                <w:sz w:val="16"/>
                <w:szCs w:val="16"/>
                <w:lang w:val="en-US"/>
              </w:rPr>
              <w:t>2,81±0,15</w:t>
            </w:r>
          </w:p>
          <w:p w14:paraId="42EE89CA">
            <w:pPr>
              <w:spacing w:after="0" w:line="240" w:lineRule="auto"/>
              <w:rPr>
                <w:sz w:val="16"/>
                <w:szCs w:val="16"/>
                <w:lang w:val="en-US"/>
              </w:rPr>
            </w:pPr>
            <w:r>
              <w:rPr>
                <w:sz w:val="16"/>
                <w:szCs w:val="16"/>
                <w:lang w:val="en-US"/>
              </w:rPr>
              <w:t>-0,50±0,51</w:t>
            </w:r>
          </w:p>
        </w:tc>
        <w:tc>
          <w:tcPr>
            <w:tcW w:w="0" w:type="auto"/>
          </w:tcPr>
          <w:p w14:paraId="79D224E9">
            <w:pPr>
              <w:spacing w:after="0" w:line="240" w:lineRule="auto"/>
              <w:rPr>
                <w:sz w:val="16"/>
                <w:szCs w:val="16"/>
                <w:lang w:val="en-US"/>
              </w:rPr>
            </w:pPr>
            <w:r>
              <w:rPr>
                <w:sz w:val="16"/>
                <w:szCs w:val="16"/>
                <w:lang w:val="en-US"/>
              </w:rPr>
              <w:t>2,92±0,22</w:t>
            </w:r>
          </w:p>
          <w:p w14:paraId="03CED8AD">
            <w:pPr>
              <w:spacing w:after="0" w:line="240" w:lineRule="auto"/>
              <w:rPr>
                <w:sz w:val="16"/>
                <w:szCs w:val="16"/>
                <w:lang w:val="en-US"/>
              </w:rPr>
            </w:pPr>
            <w:r>
              <w:rPr>
                <w:sz w:val="16"/>
                <w:szCs w:val="16"/>
                <w:lang w:val="en-US"/>
              </w:rPr>
              <w:t>-0,15±0,73</w:t>
            </w:r>
          </w:p>
        </w:tc>
        <w:tc>
          <w:tcPr>
            <w:tcW w:w="0" w:type="auto"/>
          </w:tcPr>
          <w:p w14:paraId="390D8C23">
            <w:pPr>
              <w:spacing w:after="0" w:line="240" w:lineRule="auto"/>
              <w:rPr>
                <w:sz w:val="16"/>
                <w:szCs w:val="16"/>
                <w:lang w:val="en-US"/>
              </w:rPr>
            </w:pPr>
            <w:r>
              <w:rPr>
                <w:sz w:val="16"/>
                <w:szCs w:val="16"/>
                <w:lang w:val="en-US"/>
              </w:rPr>
              <w:t>0,10±0,17</w:t>
            </w:r>
          </w:p>
          <w:p w14:paraId="1BC05086">
            <w:pPr>
              <w:spacing w:after="0" w:line="240" w:lineRule="auto"/>
              <w:rPr>
                <w:sz w:val="16"/>
                <w:szCs w:val="16"/>
                <w:lang w:val="en-US"/>
              </w:rPr>
            </w:pPr>
            <w:r>
              <w:rPr>
                <w:sz w:val="16"/>
                <w:szCs w:val="16"/>
                <w:lang w:val="en-US"/>
              </w:rPr>
              <w:t>0,35±0,57</w:t>
            </w:r>
          </w:p>
        </w:tc>
        <w:tc>
          <w:tcPr>
            <w:tcW w:w="0" w:type="auto"/>
          </w:tcPr>
          <w:p w14:paraId="7BE000E5">
            <w:pPr>
              <w:spacing w:after="0" w:line="240" w:lineRule="auto"/>
              <w:rPr>
                <w:sz w:val="16"/>
                <w:szCs w:val="16"/>
                <w:lang w:val="en-US"/>
              </w:rPr>
            </w:pPr>
            <w:r>
              <w:rPr>
                <w:sz w:val="16"/>
                <w:szCs w:val="16"/>
                <w:lang w:val="en-US"/>
              </w:rPr>
              <w:t>0,86</w:t>
            </w:r>
          </w:p>
        </w:tc>
      </w:tr>
      <w:tr w14:paraId="7909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153ACF">
            <w:pPr>
              <w:spacing w:after="0" w:line="240" w:lineRule="auto"/>
              <w:rPr>
                <w:b/>
                <w:bCs/>
                <w:sz w:val="16"/>
                <w:szCs w:val="16"/>
                <w:lang w:val="en-US"/>
              </w:rPr>
            </w:pPr>
            <w:r>
              <w:rPr>
                <w:b/>
                <w:bCs/>
                <w:sz w:val="16"/>
                <w:szCs w:val="16"/>
                <w:lang w:val="en-US"/>
              </w:rPr>
              <w:t>Phagocytosis</w:t>
            </w:r>
          </w:p>
          <w:p w14:paraId="004C4A84">
            <w:pPr>
              <w:spacing w:after="0" w:line="240" w:lineRule="auto"/>
              <w:rPr>
                <w:b/>
                <w:bCs/>
                <w:sz w:val="16"/>
                <w:szCs w:val="16"/>
                <w:lang w:val="en-US"/>
              </w:rPr>
            </w:pPr>
            <w:r>
              <w:rPr>
                <w:b/>
                <w:bCs/>
                <w:sz w:val="16"/>
                <w:szCs w:val="16"/>
                <w:lang w:val="en-US"/>
              </w:rPr>
              <w:t>Index, %</w:t>
            </w:r>
          </w:p>
        </w:tc>
        <w:tc>
          <w:tcPr>
            <w:tcW w:w="0" w:type="auto"/>
          </w:tcPr>
          <w:p w14:paraId="2716C582">
            <w:pPr>
              <w:spacing w:after="0" w:line="240" w:lineRule="auto"/>
              <w:rPr>
                <w:sz w:val="16"/>
                <w:szCs w:val="16"/>
                <w:lang w:val="en-US"/>
              </w:rPr>
            </w:pPr>
            <w:r>
              <w:rPr>
                <w:sz w:val="16"/>
                <w:szCs w:val="16"/>
                <w:lang w:val="en-US"/>
              </w:rPr>
              <w:t>76,0±2,1</w:t>
            </w:r>
          </w:p>
          <w:p w14:paraId="41B6B8F6">
            <w:pPr>
              <w:spacing w:after="0" w:line="240" w:lineRule="auto"/>
              <w:rPr>
                <w:sz w:val="16"/>
                <w:szCs w:val="16"/>
                <w:lang w:val="en-US"/>
              </w:rPr>
            </w:pPr>
            <w:r>
              <w:rPr>
                <w:sz w:val="16"/>
                <w:szCs w:val="16"/>
                <w:lang w:val="en-US"/>
              </w:rPr>
              <w:t>0,149</w:t>
            </w:r>
          </w:p>
        </w:tc>
        <w:tc>
          <w:tcPr>
            <w:tcW w:w="0" w:type="auto"/>
          </w:tcPr>
          <w:p w14:paraId="12318B06">
            <w:pPr>
              <w:spacing w:after="0" w:line="240" w:lineRule="auto"/>
              <w:rPr>
                <w:sz w:val="16"/>
                <w:szCs w:val="16"/>
                <w:lang w:val="en-US"/>
              </w:rPr>
            </w:pPr>
            <w:r>
              <w:rPr>
                <w:sz w:val="16"/>
                <w:szCs w:val="16"/>
                <w:lang w:val="en-US"/>
              </w:rPr>
              <w:t>70,8±1,2</w:t>
            </w:r>
          </w:p>
          <w:p w14:paraId="3266D4C0">
            <w:pPr>
              <w:spacing w:after="0" w:line="240" w:lineRule="auto"/>
              <w:rPr>
                <w:sz w:val="16"/>
                <w:szCs w:val="16"/>
                <w:lang w:val="en-US"/>
              </w:rPr>
            </w:pPr>
            <w:r>
              <w:rPr>
                <w:sz w:val="16"/>
                <w:szCs w:val="16"/>
                <w:lang w:val="en-US"/>
              </w:rPr>
              <w:t>-0,46±0,11</w:t>
            </w:r>
            <w:r>
              <w:rPr>
                <w:sz w:val="16"/>
                <w:szCs w:val="16"/>
                <w:vertAlign w:val="superscript"/>
                <w:lang w:val="en-US"/>
              </w:rPr>
              <w:t>r</w:t>
            </w:r>
          </w:p>
        </w:tc>
        <w:tc>
          <w:tcPr>
            <w:tcW w:w="0" w:type="auto"/>
          </w:tcPr>
          <w:p w14:paraId="571175C2">
            <w:pPr>
              <w:spacing w:after="0" w:line="240" w:lineRule="auto"/>
              <w:rPr>
                <w:sz w:val="16"/>
                <w:szCs w:val="16"/>
                <w:lang w:val="en-US"/>
              </w:rPr>
            </w:pPr>
            <w:r>
              <w:rPr>
                <w:sz w:val="16"/>
                <w:szCs w:val="16"/>
                <w:lang w:val="en-US"/>
              </w:rPr>
              <w:t>78,3±0,7</w:t>
            </w:r>
          </w:p>
          <w:p w14:paraId="6C483CA3">
            <w:pPr>
              <w:spacing w:after="0" w:line="240" w:lineRule="auto"/>
              <w:rPr>
                <w:sz w:val="16"/>
                <w:szCs w:val="16"/>
                <w:lang w:val="en-US"/>
              </w:rPr>
            </w:pPr>
            <w:r>
              <w:rPr>
                <w:sz w:val="16"/>
                <w:szCs w:val="16"/>
                <w:lang w:val="en-US"/>
              </w:rPr>
              <w:t>0,20±0,06</w:t>
            </w:r>
          </w:p>
        </w:tc>
        <w:tc>
          <w:tcPr>
            <w:tcW w:w="0" w:type="auto"/>
          </w:tcPr>
          <w:p w14:paraId="23CAC691">
            <w:pPr>
              <w:spacing w:after="0" w:line="240" w:lineRule="auto"/>
              <w:rPr>
                <w:sz w:val="16"/>
                <w:szCs w:val="16"/>
                <w:lang w:val="en-US"/>
              </w:rPr>
            </w:pPr>
            <w:r>
              <w:rPr>
                <w:sz w:val="16"/>
                <w:szCs w:val="16"/>
                <w:lang w:val="en-US"/>
              </w:rPr>
              <w:t>7,50±1,18</w:t>
            </w:r>
          </w:p>
          <w:p w14:paraId="1C9CC4B6">
            <w:pPr>
              <w:spacing w:after="0" w:line="240" w:lineRule="auto"/>
              <w:rPr>
                <w:sz w:val="16"/>
                <w:szCs w:val="16"/>
                <w:lang w:val="en-US"/>
              </w:rPr>
            </w:pPr>
            <w:r>
              <w:rPr>
                <w:sz w:val="16"/>
                <w:szCs w:val="16"/>
                <w:lang w:val="en-US"/>
              </w:rPr>
              <w:t>0,66±0,10*</w:t>
            </w:r>
          </w:p>
        </w:tc>
        <w:tc>
          <w:tcPr>
            <w:tcW w:w="0" w:type="auto"/>
          </w:tcPr>
          <w:p w14:paraId="72CADB72">
            <w:pPr>
              <w:spacing w:after="0" w:line="240" w:lineRule="auto"/>
              <w:rPr>
                <w:sz w:val="16"/>
                <w:szCs w:val="16"/>
                <w:lang w:val="en-US"/>
              </w:rPr>
            </w:pPr>
            <w:r>
              <w:rPr>
                <w:sz w:val="16"/>
                <w:szCs w:val="16"/>
                <w:lang w:val="en-US"/>
              </w:rPr>
              <w:t>70,9±1,1</w:t>
            </w:r>
          </w:p>
          <w:p w14:paraId="0169DAD6">
            <w:pPr>
              <w:spacing w:after="0" w:line="240" w:lineRule="auto"/>
              <w:rPr>
                <w:sz w:val="16"/>
                <w:szCs w:val="16"/>
                <w:lang w:val="en-US"/>
              </w:rPr>
            </w:pPr>
            <w:r>
              <w:rPr>
                <w:sz w:val="16"/>
                <w:szCs w:val="16"/>
                <w:lang w:val="en-US"/>
              </w:rPr>
              <w:t>-0,45±0,10</w:t>
            </w:r>
            <w:r>
              <w:rPr>
                <w:sz w:val="16"/>
                <w:szCs w:val="16"/>
                <w:vertAlign w:val="superscript"/>
                <w:lang w:val="en-US"/>
              </w:rPr>
              <w:t>r</w:t>
            </w:r>
          </w:p>
        </w:tc>
        <w:tc>
          <w:tcPr>
            <w:tcW w:w="0" w:type="auto"/>
          </w:tcPr>
          <w:p w14:paraId="4D99635E">
            <w:pPr>
              <w:spacing w:after="0" w:line="240" w:lineRule="auto"/>
              <w:rPr>
                <w:sz w:val="16"/>
                <w:szCs w:val="16"/>
                <w:lang w:val="en-US"/>
              </w:rPr>
            </w:pPr>
            <w:r>
              <w:rPr>
                <w:sz w:val="16"/>
                <w:szCs w:val="16"/>
                <w:lang w:val="en-US"/>
              </w:rPr>
              <w:t>76,8±0,9</w:t>
            </w:r>
          </w:p>
          <w:p w14:paraId="040376E7">
            <w:pPr>
              <w:spacing w:after="0" w:line="240" w:lineRule="auto"/>
              <w:rPr>
                <w:sz w:val="16"/>
                <w:szCs w:val="16"/>
                <w:lang w:val="en-US"/>
              </w:rPr>
            </w:pPr>
            <w:r>
              <w:rPr>
                <w:sz w:val="16"/>
                <w:szCs w:val="16"/>
                <w:lang w:val="en-US"/>
              </w:rPr>
              <w:t>0,07±0,08</w:t>
            </w:r>
          </w:p>
        </w:tc>
        <w:tc>
          <w:tcPr>
            <w:tcW w:w="0" w:type="auto"/>
          </w:tcPr>
          <w:p w14:paraId="543D0A68">
            <w:pPr>
              <w:spacing w:after="0" w:line="240" w:lineRule="auto"/>
              <w:rPr>
                <w:sz w:val="16"/>
                <w:szCs w:val="16"/>
                <w:lang w:val="en-US"/>
              </w:rPr>
            </w:pPr>
            <w:r>
              <w:rPr>
                <w:sz w:val="16"/>
                <w:szCs w:val="16"/>
                <w:lang w:val="en-US"/>
              </w:rPr>
              <w:t>5,96±1,15</w:t>
            </w:r>
          </w:p>
          <w:p w14:paraId="33FE46CE">
            <w:pPr>
              <w:spacing w:after="0" w:line="240" w:lineRule="auto"/>
              <w:rPr>
                <w:sz w:val="16"/>
                <w:szCs w:val="16"/>
                <w:lang w:val="en-US"/>
              </w:rPr>
            </w:pPr>
            <w:r>
              <w:rPr>
                <w:sz w:val="16"/>
                <w:szCs w:val="16"/>
                <w:lang w:val="en-US"/>
              </w:rPr>
              <w:t>0,53±0,10*</w:t>
            </w:r>
          </w:p>
        </w:tc>
        <w:tc>
          <w:tcPr>
            <w:tcW w:w="0" w:type="auto"/>
          </w:tcPr>
          <w:p w14:paraId="3B75674F">
            <w:pPr>
              <w:spacing w:after="0" w:line="240" w:lineRule="auto"/>
              <w:rPr>
                <w:sz w:val="16"/>
                <w:szCs w:val="16"/>
                <w:lang w:val="en-US"/>
              </w:rPr>
            </w:pPr>
            <w:r>
              <w:rPr>
                <w:sz w:val="16"/>
                <w:szCs w:val="16"/>
                <w:lang w:val="en-US"/>
              </w:rPr>
              <w:t>0,94</w:t>
            </w:r>
          </w:p>
        </w:tc>
      </w:tr>
      <w:tr w14:paraId="349A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5125A4">
            <w:pPr>
              <w:spacing w:after="0" w:line="240" w:lineRule="auto"/>
              <w:rPr>
                <w:b/>
                <w:bCs/>
                <w:sz w:val="16"/>
                <w:szCs w:val="16"/>
                <w:lang w:val="en-US"/>
              </w:rPr>
            </w:pPr>
            <w:r>
              <w:rPr>
                <w:b/>
                <w:bCs/>
                <w:sz w:val="16"/>
                <w:szCs w:val="16"/>
                <w:lang w:val="en-US"/>
              </w:rPr>
              <w:t>Microbial Count, B/Ph</w:t>
            </w:r>
          </w:p>
        </w:tc>
        <w:tc>
          <w:tcPr>
            <w:tcW w:w="0" w:type="auto"/>
          </w:tcPr>
          <w:p w14:paraId="27284160">
            <w:pPr>
              <w:spacing w:after="0" w:line="240" w:lineRule="auto"/>
              <w:rPr>
                <w:sz w:val="16"/>
                <w:szCs w:val="16"/>
                <w:lang w:val="en-US"/>
              </w:rPr>
            </w:pPr>
            <w:r>
              <w:rPr>
                <w:sz w:val="16"/>
                <w:szCs w:val="16"/>
                <w:lang w:val="en-US"/>
              </w:rPr>
              <w:t>8,0±0,3</w:t>
            </w:r>
          </w:p>
          <w:p w14:paraId="1D743C65">
            <w:pPr>
              <w:spacing w:after="0" w:line="240" w:lineRule="auto"/>
              <w:rPr>
                <w:sz w:val="16"/>
                <w:szCs w:val="16"/>
                <w:lang w:val="en-US"/>
              </w:rPr>
            </w:pPr>
            <w:r>
              <w:rPr>
                <w:sz w:val="16"/>
                <w:szCs w:val="16"/>
                <w:lang w:val="en-US"/>
              </w:rPr>
              <w:t>0,234</w:t>
            </w:r>
          </w:p>
        </w:tc>
        <w:tc>
          <w:tcPr>
            <w:tcW w:w="0" w:type="auto"/>
          </w:tcPr>
          <w:p w14:paraId="23E3D283">
            <w:pPr>
              <w:spacing w:after="0" w:line="240" w:lineRule="auto"/>
              <w:rPr>
                <w:sz w:val="16"/>
                <w:szCs w:val="16"/>
                <w:lang w:val="en-US"/>
              </w:rPr>
            </w:pPr>
            <w:r>
              <w:rPr>
                <w:sz w:val="16"/>
                <w:szCs w:val="16"/>
                <w:lang w:val="en-US"/>
              </w:rPr>
              <w:t>7,3±0,3</w:t>
            </w:r>
          </w:p>
          <w:p w14:paraId="7AB19AC8">
            <w:pPr>
              <w:spacing w:after="0" w:line="240" w:lineRule="auto"/>
              <w:rPr>
                <w:sz w:val="16"/>
                <w:szCs w:val="16"/>
                <w:lang w:val="en-US"/>
              </w:rPr>
            </w:pPr>
            <w:r>
              <w:rPr>
                <w:sz w:val="16"/>
                <w:szCs w:val="16"/>
                <w:lang w:val="en-US"/>
              </w:rPr>
              <w:t>-0,36±0,17</w:t>
            </w:r>
            <w:r>
              <w:rPr>
                <w:sz w:val="16"/>
                <w:szCs w:val="16"/>
                <w:vertAlign w:val="superscript"/>
                <w:lang w:val="en-US"/>
              </w:rPr>
              <w:t>r</w:t>
            </w:r>
          </w:p>
        </w:tc>
        <w:tc>
          <w:tcPr>
            <w:tcW w:w="0" w:type="auto"/>
          </w:tcPr>
          <w:p w14:paraId="18F69BF8">
            <w:pPr>
              <w:spacing w:after="0" w:line="240" w:lineRule="auto"/>
              <w:rPr>
                <w:sz w:val="16"/>
                <w:szCs w:val="16"/>
                <w:lang w:val="en-US"/>
              </w:rPr>
            </w:pPr>
            <w:r>
              <w:rPr>
                <w:sz w:val="16"/>
                <w:szCs w:val="16"/>
                <w:lang w:val="en-US"/>
              </w:rPr>
              <w:t>8,3±0,4</w:t>
            </w:r>
          </w:p>
          <w:p w14:paraId="7D05908D">
            <w:pPr>
              <w:spacing w:after="0" w:line="240" w:lineRule="auto"/>
              <w:rPr>
                <w:sz w:val="16"/>
                <w:szCs w:val="16"/>
                <w:lang w:val="en-US"/>
              </w:rPr>
            </w:pPr>
            <w:r>
              <w:rPr>
                <w:sz w:val="16"/>
                <w:szCs w:val="16"/>
                <w:lang w:val="en-US"/>
              </w:rPr>
              <w:t>0,14±0,21</w:t>
            </w:r>
          </w:p>
        </w:tc>
        <w:tc>
          <w:tcPr>
            <w:tcW w:w="0" w:type="auto"/>
          </w:tcPr>
          <w:p w14:paraId="6291AF55">
            <w:pPr>
              <w:spacing w:after="0" w:line="240" w:lineRule="auto"/>
              <w:rPr>
                <w:sz w:val="16"/>
                <w:szCs w:val="16"/>
                <w:lang w:val="en-US"/>
              </w:rPr>
            </w:pPr>
            <w:r>
              <w:rPr>
                <w:sz w:val="16"/>
                <w:szCs w:val="16"/>
                <w:lang w:val="en-US"/>
              </w:rPr>
              <w:t>0,93±0,32</w:t>
            </w:r>
          </w:p>
          <w:p w14:paraId="4B1238C0">
            <w:pPr>
              <w:spacing w:after="0" w:line="240" w:lineRule="auto"/>
              <w:rPr>
                <w:sz w:val="16"/>
                <w:szCs w:val="16"/>
                <w:lang w:val="en-US"/>
              </w:rPr>
            </w:pPr>
            <w:r>
              <w:rPr>
                <w:sz w:val="16"/>
                <w:szCs w:val="16"/>
                <w:lang w:val="en-US"/>
              </w:rPr>
              <w:t>0,50±0,17*</w:t>
            </w:r>
          </w:p>
        </w:tc>
        <w:tc>
          <w:tcPr>
            <w:tcW w:w="0" w:type="auto"/>
          </w:tcPr>
          <w:p w14:paraId="65B2DA78">
            <w:pPr>
              <w:spacing w:after="0" w:line="240" w:lineRule="auto"/>
              <w:rPr>
                <w:sz w:val="16"/>
                <w:szCs w:val="16"/>
                <w:lang w:val="en-US"/>
              </w:rPr>
            </w:pPr>
            <w:r>
              <w:rPr>
                <w:sz w:val="16"/>
                <w:szCs w:val="16"/>
                <w:lang w:val="en-US"/>
              </w:rPr>
              <w:t>7,0±0,3</w:t>
            </w:r>
          </w:p>
          <w:p w14:paraId="585F9921">
            <w:pPr>
              <w:spacing w:after="0" w:line="240" w:lineRule="auto"/>
              <w:rPr>
                <w:sz w:val="16"/>
                <w:szCs w:val="16"/>
                <w:lang w:val="en-US"/>
              </w:rPr>
            </w:pPr>
            <w:r>
              <w:rPr>
                <w:sz w:val="16"/>
                <w:szCs w:val="16"/>
                <w:lang w:val="en-US"/>
              </w:rPr>
              <w:t>-0,53±0,17</w:t>
            </w:r>
            <w:r>
              <w:rPr>
                <w:sz w:val="16"/>
                <w:szCs w:val="16"/>
                <w:vertAlign w:val="superscript"/>
                <w:lang w:val="en-US"/>
              </w:rPr>
              <w:t>r</w:t>
            </w:r>
          </w:p>
        </w:tc>
        <w:tc>
          <w:tcPr>
            <w:tcW w:w="0" w:type="auto"/>
          </w:tcPr>
          <w:p w14:paraId="24BF1128">
            <w:pPr>
              <w:spacing w:after="0" w:line="240" w:lineRule="auto"/>
              <w:rPr>
                <w:sz w:val="16"/>
                <w:szCs w:val="16"/>
                <w:lang w:val="en-US"/>
              </w:rPr>
            </w:pPr>
            <w:r>
              <w:rPr>
                <w:sz w:val="16"/>
                <w:szCs w:val="16"/>
                <w:lang w:val="en-US"/>
              </w:rPr>
              <w:t>7,7±0,3</w:t>
            </w:r>
          </w:p>
          <w:p w14:paraId="02D72BFB">
            <w:pPr>
              <w:spacing w:after="0" w:line="240" w:lineRule="auto"/>
              <w:rPr>
                <w:sz w:val="16"/>
                <w:szCs w:val="16"/>
                <w:lang w:val="en-US"/>
              </w:rPr>
            </w:pPr>
            <w:r>
              <w:rPr>
                <w:sz w:val="16"/>
                <w:szCs w:val="16"/>
                <w:lang w:val="en-US"/>
              </w:rPr>
              <w:t>-0,13±0,13</w:t>
            </w:r>
          </w:p>
        </w:tc>
        <w:tc>
          <w:tcPr>
            <w:tcW w:w="0" w:type="auto"/>
          </w:tcPr>
          <w:p w14:paraId="3E726D11">
            <w:pPr>
              <w:spacing w:after="0" w:line="240" w:lineRule="auto"/>
              <w:rPr>
                <w:sz w:val="16"/>
                <w:szCs w:val="16"/>
                <w:lang w:val="en-US"/>
              </w:rPr>
            </w:pPr>
            <w:r>
              <w:rPr>
                <w:sz w:val="16"/>
                <w:szCs w:val="16"/>
                <w:lang w:val="en-US"/>
              </w:rPr>
              <w:t>0,73±0,22</w:t>
            </w:r>
          </w:p>
          <w:p w14:paraId="1CCA8142">
            <w:pPr>
              <w:spacing w:after="0" w:line="240" w:lineRule="auto"/>
              <w:rPr>
                <w:sz w:val="16"/>
                <w:szCs w:val="16"/>
                <w:lang w:val="en-US"/>
              </w:rPr>
            </w:pPr>
            <w:r>
              <w:rPr>
                <w:sz w:val="16"/>
                <w:szCs w:val="16"/>
                <w:lang w:val="en-US"/>
              </w:rPr>
              <w:t>0,39±0,12*</w:t>
            </w:r>
          </w:p>
        </w:tc>
        <w:tc>
          <w:tcPr>
            <w:tcW w:w="0" w:type="auto"/>
          </w:tcPr>
          <w:p w14:paraId="4077DCF0">
            <w:pPr>
              <w:spacing w:after="0" w:line="240" w:lineRule="auto"/>
              <w:rPr>
                <w:sz w:val="16"/>
                <w:szCs w:val="16"/>
                <w:lang w:val="en-US"/>
              </w:rPr>
            </w:pPr>
            <w:r>
              <w:rPr>
                <w:sz w:val="16"/>
                <w:szCs w:val="16"/>
                <w:lang w:val="en-US"/>
              </w:rPr>
              <w:t>0,51</w:t>
            </w:r>
          </w:p>
        </w:tc>
      </w:tr>
      <w:tr w14:paraId="4D57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C42CAE">
            <w:pPr>
              <w:spacing w:after="0" w:line="240" w:lineRule="auto"/>
              <w:rPr>
                <w:b/>
                <w:bCs/>
                <w:sz w:val="16"/>
                <w:szCs w:val="16"/>
                <w:lang w:val="en-US"/>
              </w:rPr>
            </w:pPr>
            <w:r>
              <w:rPr>
                <w:b/>
                <w:bCs/>
                <w:sz w:val="16"/>
                <w:szCs w:val="16"/>
                <w:lang w:val="en-US"/>
              </w:rPr>
              <w:t>Killing</w:t>
            </w:r>
          </w:p>
          <w:p w14:paraId="5796B80E">
            <w:pPr>
              <w:spacing w:after="0" w:line="240" w:lineRule="auto"/>
              <w:rPr>
                <w:b/>
                <w:bCs/>
                <w:sz w:val="16"/>
                <w:szCs w:val="16"/>
                <w:lang w:val="en-US"/>
              </w:rPr>
            </w:pPr>
            <w:r>
              <w:rPr>
                <w:b/>
                <w:bCs/>
                <w:sz w:val="16"/>
                <w:szCs w:val="16"/>
                <w:lang w:val="en-US"/>
              </w:rPr>
              <w:t>Index, %</w:t>
            </w:r>
          </w:p>
        </w:tc>
        <w:tc>
          <w:tcPr>
            <w:tcW w:w="0" w:type="auto"/>
          </w:tcPr>
          <w:p w14:paraId="30A612A0">
            <w:pPr>
              <w:spacing w:after="0" w:line="240" w:lineRule="auto"/>
              <w:rPr>
                <w:sz w:val="16"/>
                <w:szCs w:val="16"/>
                <w:lang w:val="en-US"/>
              </w:rPr>
            </w:pPr>
            <w:r>
              <w:rPr>
                <w:sz w:val="16"/>
                <w:szCs w:val="16"/>
                <w:lang w:val="en-US"/>
              </w:rPr>
              <w:t>68,0±3,4</w:t>
            </w:r>
          </w:p>
          <w:p w14:paraId="4B76F62E">
            <w:pPr>
              <w:spacing w:after="0" w:line="240" w:lineRule="auto"/>
              <w:rPr>
                <w:sz w:val="16"/>
                <w:szCs w:val="16"/>
                <w:lang w:val="en-US"/>
              </w:rPr>
            </w:pPr>
            <w:r>
              <w:rPr>
                <w:sz w:val="16"/>
                <w:szCs w:val="16"/>
                <w:lang w:val="en-US"/>
              </w:rPr>
              <w:t>0,278</w:t>
            </w:r>
          </w:p>
        </w:tc>
        <w:tc>
          <w:tcPr>
            <w:tcW w:w="0" w:type="auto"/>
          </w:tcPr>
          <w:p w14:paraId="1D8ED3A2">
            <w:pPr>
              <w:spacing w:after="0" w:line="240" w:lineRule="auto"/>
              <w:rPr>
                <w:sz w:val="16"/>
                <w:szCs w:val="16"/>
                <w:lang w:val="en-US"/>
              </w:rPr>
            </w:pPr>
            <w:r>
              <w:rPr>
                <w:sz w:val="16"/>
                <w:szCs w:val="16"/>
                <w:lang w:val="en-US"/>
              </w:rPr>
              <w:t>53,8±2,9</w:t>
            </w:r>
          </w:p>
          <w:p w14:paraId="4DAC1904">
            <w:pPr>
              <w:spacing w:after="0" w:line="240" w:lineRule="auto"/>
              <w:rPr>
                <w:sz w:val="16"/>
                <w:szCs w:val="16"/>
                <w:lang w:val="en-US"/>
              </w:rPr>
            </w:pPr>
            <w:r>
              <w:rPr>
                <w:sz w:val="16"/>
                <w:szCs w:val="16"/>
                <w:lang w:val="en-US"/>
              </w:rPr>
              <w:t>-0,75±0,15</w:t>
            </w:r>
            <w:r>
              <w:rPr>
                <w:sz w:val="16"/>
                <w:szCs w:val="16"/>
                <w:vertAlign w:val="superscript"/>
                <w:lang w:val="en-US"/>
              </w:rPr>
              <w:t>r</w:t>
            </w:r>
          </w:p>
        </w:tc>
        <w:tc>
          <w:tcPr>
            <w:tcW w:w="0" w:type="auto"/>
          </w:tcPr>
          <w:p w14:paraId="3F8B9384">
            <w:pPr>
              <w:spacing w:after="0" w:line="240" w:lineRule="auto"/>
              <w:rPr>
                <w:sz w:val="16"/>
                <w:szCs w:val="16"/>
                <w:lang w:val="en-US"/>
              </w:rPr>
            </w:pPr>
            <w:r>
              <w:rPr>
                <w:sz w:val="16"/>
                <w:szCs w:val="16"/>
                <w:lang w:val="en-US"/>
              </w:rPr>
              <w:t>58,3±1,9</w:t>
            </w:r>
          </w:p>
          <w:p w14:paraId="3DCE4305">
            <w:pPr>
              <w:spacing w:after="0" w:line="240" w:lineRule="auto"/>
              <w:rPr>
                <w:sz w:val="16"/>
                <w:szCs w:val="16"/>
                <w:lang w:val="en-US"/>
              </w:rPr>
            </w:pPr>
            <w:r>
              <w:rPr>
                <w:sz w:val="16"/>
                <w:szCs w:val="16"/>
                <w:lang w:val="en-US"/>
              </w:rPr>
              <w:t>-0,52±0,10</w:t>
            </w:r>
            <w:r>
              <w:rPr>
                <w:sz w:val="16"/>
                <w:szCs w:val="16"/>
                <w:vertAlign w:val="superscript"/>
                <w:lang w:val="en-US"/>
              </w:rPr>
              <w:t>r</w:t>
            </w:r>
          </w:p>
        </w:tc>
        <w:tc>
          <w:tcPr>
            <w:tcW w:w="0" w:type="auto"/>
          </w:tcPr>
          <w:p w14:paraId="2F4E1D97">
            <w:pPr>
              <w:spacing w:after="0" w:line="240" w:lineRule="auto"/>
              <w:rPr>
                <w:sz w:val="16"/>
                <w:szCs w:val="16"/>
                <w:lang w:val="en-US"/>
              </w:rPr>
            </w:pPr>
            <w:r>
              <w:rPr>
                <w:sz w:val="16"/>
                <w:szCs w:val="16"/>
                <w:lang w:val="en-US"/>
              </w:rPr>
              <w:t>4,48±2,05</w:t>
            </w:r>
          </w:p>
          <w:p w14:paraId="49AC890F">
            <w:pPr>
              <w:spacing w:after="0" w:line="240" w:lineRule="auto"/>
              <w:rPr>
                <w:sz w:val="16"/>
                <w:szCs w:val="16"/>
                <w:lang w:val="en-US"/>
              </w:rPr>
            </w:pPr>
            <w:r>
              <w:rPr>
                <w:sz w:val="16"/>
                <w:szCs w:val="16"/>
                <w:lang w:val="en-US"/>
              </w:rPr>
              <w:t>0,24±0,11*</w:t>
            </w:r>
          </w:p>
        </w:tc>
        <w:tc>
          <w:tcPr>
            <w:tcW w:w="0" w:type="auto"/>
          </w:tcPr>
          <w:p w14:paraId="06DD9ED8">
            <w:pPr>
              <w:spacing w:after="0" w:line="240" w:lineRule="auto"/>
              <w:rPr>
                <w:sz w:val="16"/>
                <w:szCs w:val="16"/>
                <w:lang w:val="en-US"/>
              </w:rPr>
            </w:pPr>
            <w:r>
              <w:rPr>
                <w:sz w:val="16"/>
                <w:szCs w:val="16"/>
                <w:lang w:val="en-US"/>
              </w:rPr>
              <w:t>52,7±2,3</w:t>
            </w:r>
          </w:p>
          <w:p w14:paraId="0E6115D5">
            <w:pPr>
              <w:spacing w:after="0" w:line="240" w:lineRule="auto"/>
              <w:rPr>
                <w:sz w:val="16"/>
                <w:szCs w:val="16"/>
                <w:lang w:val="en-US"/>
              </w:rPr>
            </w:pPr>
            <w:r>
              <w:rPr>
                <w:sz w:val="16"/>
                <w:szCs w:val="16"/>
                <w:lang w:val="en-US"/>
              </w:rPr>
              <w:t>-0,81±0,12</w:t>
            </w:r>
            <w:r>
              <w:rPr>
                <w:sz w:val="16"/>
                <w:szCs w:val="16"/>
                <w:vertAlign w:val="superscript"/>
                <w:lang w:val="en-US"/>
              </w:rPr>
              <w:t>r</w:t>
            </w:r>
          </w:p>
        </w:tc>
        <w:tc>
          <w:tcPr>
            <w:tcW w:w="0" w:type="auto"/>
          </w:tcPr>
          <w:p w14:paraId="76808AF4">
            <w:pPr>
              <w:spacing w:after="0" w:line="240" w:lineRule="auto"/>
              <w:rPr>
                <w:sz w:val="16"/>
                <w:szCs w:val="16"/>
                <w:lang w:val="en-US"/>
              </w:rPr>
            </w:pPr>
            <w:r>
              <w:rPr>
                <w:sz w:val="16"/>
                <w:szCs w:val="16"/>
                <w:lang w:val="en-US"/>
              </w:rPr>
              <w:t>58,6±2,2</w:t>
            </w:r>
          </w:p>
          <w:p w14:paraId="5F418183">
            <w:pPr>
              <w:spacing w:after="0" w:line="240" w:lineRule="auto"/>
              <w:rPr>
                <w:sz w:val="16"/>
                <w:szCs w:val="16"/>
                <w:lang w:val="en-US"/>
              </w:rPr>
            </w:pPr>
            <w:r>
              <w:rPr>
                <w:sz w:val="16"/>
                <w:szCs w:val="16"/>
                <w:lang w:val="en-US"/>
              </w:rPr>
              <w:t>-0,50±0,11</w:t>
            </w:r>
            <w:r>
              <w:rPr>
                <w:sz w:val="16"/>
                <w:szCs w:val="16"/>
                <w:vertAlign w:val="superscript"/>
                <w:lang w:val="en-US"/>
              </w:rPr>
              <w:t>r</w:t>
            </w:r>
          </w:p>
        </w:tc>
        <w:tc>
          <w:tcPr>
            <w:tcW w:w="0" w:type="auto"/>
          </w:tcPr>
          <w:p w14:paraId="630290D0">
            <w:pPr>
              <w:spacing w:after="0" w:line="240" w:lineRule="auto"/>
              <w:rPr>
                <w:sz w:val="16"/>
                <w:szCs w:val="16"/>
                <w:lang w:val="en-US"/>
              </w:rPr>
            </w:pPr>
            <w:r>
              <w:rPr>
                <w:sz w:val="16"/>
                <w:szCs w:val="16"/>
                <w:lang w:val="en-US"/>
              </w:rPr>
              <w:t>5,87±2,09</w:t>
            </w:r>
          </w:p>
          <w:p w14:paraId="6C085429">
            <w:pPr>
              <w:spacing w:after="0" w:line="240" w:lineRule="auto"/>
              <w:rPr>
                <w:sz w:val="16"/>
                <w:szCs w:val="16"/>
                <w:lang w:val="en-US"/>
              </w:rPr>
            </w:pPr>
            <w:r>
              <w:rPr>
                <w:sz w:val="16"/>
                <w:szCs w:val="16"/>
                <w:lang w:val="en-US"/>
              </w:rPr>
              <w:t>0,31±0,11*</w:t>
            </w:r>
          </w:p>
        </w:tc>
        <w:tc>
          <w:tcPr>
            <w:tcW w:w="0" w:type="auto"/>
          </w:tcPr>
          <w:p w14:paraId="2FC51710">
            <w:pPr>
              <w:spacing w:after="0" w:line="240" w:lineRule="auto"/>
              <w:rPr>
                <w:sz w:val="16"/>
                <w:szCs w:val="16"/>
                <w:lang w:val="en-US"/>
              </w:rPr>
            </w:pPr>
            <w:r>
              <w:rPr>
                <w:sz w:val="16"/>
                <w:szCs w:val="16"/>
                <w:lang w:val="en-US"/>
              </w:rPr>
              <w:t>0,47</w:t>
            </w:r>
          </w:p>
        </w:tc>
      </w:tr>
      <w:tr w14:paraId="2369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294347">
            <w:pPr>
              <w:spacing w:after="0" w:line="240" w:lineRule="auto"/>
              <w:rPr>
                <w:b/>
                <w:bCs/>
                <w:sz w:val="16"/>
                <w:szCs w:val="16"/>
                <w:lang w:val="en-US"/>
              </w:rPr>
            </w:pPr>
            <w:r>
              <w:rPr>
                <w:b/>
                <w:bCs/>
                <w:sz w:val="16"/>
                <w:szCs w:val="16"/>
                <w:lang w:val="en-US"/>
              </w:rPr>
              <w:t xml:space="preserve">BCCN, </w:t>
            </w:r>
          </w:p>
          <w:p w14:paraId="4EBEBE0D">
            <w:pPr>
              <w:spacing w:after="0" w:line="240" w:lineRule="auto"/>
              <w:rPr>
                <w:b/>
                <w:bCs/>
                <w:sz w:val="16"/>
                <w:szCs w:val="16"/>
                <w:lang w:val="en-US"/>
              </w:rPr>
            </w:pPr>
            <w:r>
              <w:rPr>
                <w:b/>
                <w:bCs/>
                <w:sz w:val="16"/>
                <w:szCs w:val="16"/>
                <w:lang w:val="en-US"/>
              </w:rPr>
              <w:t>10</w:t>
            </w:r>
            <w:r>
              <w:rPr>
                <w:b/>
                <w:bCs/>
                <w:sz w:val="16"/>
                <w:szCs w:val="16"/>
                <w:vertAlign w:val="superscript"/>
                <w:lang w:val="en-US"/>
              </w:rPr>
              <w:t>9</w:t>
            </w:r>
            <w:r>
              <w:rPr>
                <w:b/>
                <w:bCs/>
                <w:sz w:val="16"/>
                <w:szCs w:val="16"/>
                <w:lang w:val="en-US"/>
              </w:rPr>
              <w:t xml:space="preserve"> Bacter/L</w:t>
            </w:r>
          </w:p>
        </w:tc>
        <w:tc>
          <w:tcPr>
            <w:tcW w:w="0" w:type="auto"/>
          </w:tcPr>
          <w:p w14:paraId="15773BD9">
            <w:pPr>
              <w:spacing w:after="0" w:line="240" w:lineRule="auto"/>
              <w:rPr>
                <w:sz w:val="16"/>
                <w:szCs w:val="16"/>
                <w:lang w:val="en-US"/>
              </w:rPr>
            </w:pPr>
            <w:r>
              <w:rPr>
                <w:sz w:val="16"/>
                <w:szCs w:val="16"/>
                <w:lang w:val="en-US"/>
              </w:rPr>
              <w:t>12,24±0,42</w:t>
            </w:r>
          </w:p>
          <w:p w14:paraId="3569F964">
            <w:pPr>
              <w:spacing w:after="0" w:line="240" w:lineRule="auto"/>
              <w:rPr>
                <w:sz w:val="16"/>
                <w:szCs w:val="16"/>
                <w:lang w:val="en-US"/>
              </w:rPr>
            </w:pPr>
            <w:r>
              <w:rPr>
                <w:sz w:val="16"/>
                <w:szCs w:val="16"/>
                <w:lang w:val="en-US"/>
              </w:rPr>
              <w:t>0,190</w:t>
            </w:r>
          </w:p>
        </w:tc>
        <w:tc>
          <w:tcPr>
            <w:tcW w:w="0" w:type="auto"/>
          </w:tcPr>
          <w:p w14:paraId="0EA6F6F3">
            <w:pPr>
              <w:spacing w:after="0" w:line="240" w:lineRule="auto"/>
              <w:rPr>
                <w:sz w:val="16"/>
                <w:szCs w:val="16"/>
                <w:lang w:val="en-US"/>
              </w:rPr>
            </w:pPr>
            <w:r>
              <w:rPr>
                <w:sz w:val="16"/>
                <w:szCs w:val="16"/>
                <w:lang w:val="en-US"/>
              </w:rPr>
              <w:t>8,83±1,17</w:t>
            </w:r>
          </w:p>
          <w:p w14:paraId="292D7B3F">
            <w:pPr>
              <w:spacing w:after="0" w:line="240" w:lineRule="auto"/>
              <w:rPr>
                <w:sz w:val="16"/>
                <w:szCs w:val="16"/>
                <w:lang w:val="en-US"/>
              </w:rPr>
            </w:pPr>
            <w:r>
              <w:rPr>
                <w:sz w:val="16"/>
                <w:szCs w:val="16"/>
                <w:lang w:val="en-US"/>
              </w:rPr>
              <w:t>-1,47±0,50</w:t>
            </w:r>
            <w:r>
              <w:rPr>
                <w:sz w:val="16"/>
                <w:szCs w:val="16"/>
                <w:vertAlign w:val="superscript"/>
                <w:lang w:val="en-US"/>
              </w:rPr>
              <w:t>r</w:t>
            </w:r>
          </w:p>
        </w:tc>
        <w:tc>
          <w:tcPr>
            <w:tcW w:w="0" w:type="auto"/>
          </w:tcPr>
          <w:p w14:paraId="2A0364A0">
            <w:pPr>
              <w:spacing w:after="0" w:line="240" w:lineRule="auto"/>
              <w:rPr>
                <w:sz w:val="16"/>
                <w:szCs w:val="16"/>
                <w:lang w:val="en-US"/>
              </w:rPr>
            </w:pPr>
            <w:r>
              <w:rPr>
                <w:sz w:val="16"/>
                <w:szCs w:val="16"/>
                <w:lang w:val="en-US"/>
              </w:rPr>
              <w:t>11,38±1,42</w:t>
            </w:r>
          </w:p>
          <w:p w14:paraId="093E00F9">
            <w:pPr>
              <w:spacing w:after="0" w:line="240" w:lineRule="auto"/>
              <w:rPr>
                <w:sz w:val="16"/>
                <w:szCs w:val="16"/>
                <w:lang w:val="en-US"/>
              </w:rPr>
            </w:pPr>
            <w:r>
              <w:rPr>
                <w:sz w:val="16"/>
                <w:szCs w:val="16"/>
                <w:lang w:val="en-US"/>
              </w:rPr>
              <w:t>-0,37±0,61</w:t>
            </w:r>
          </w:p>
        </w:tc>
        <w:tc>
          <w:tcPr>
            <w:tcW w:w="0" w:type="auto"/>
          </w:tcPr>
          <w:p w14:paraId="08BDE86E">
            <w:pPr>
              <w:spacing w:after="0" w:line="240" w:lineRule="auto"/>
              <w:rPr>
                <w:sz w:val="16"/>
                <w:szCs w:val="16"/>
                <w:lang w:val="en-US"/>
              </w:rPr>
            </w:pPr>
            <w:r>
              <w:rPr>
                <w:sz w:val="16"/>
                <w:szCs w:val="16"/>
                <w:lang w:val="en-US"/>
              </w:rPr>
              <w:t>2,55±1,34</w:t>
            </w:r>
          </w:p>
          <w:p w14:paraId="3003B2AA">
            <w:pPr>
              <w:spacing w:after="0" w:line="240" w:lineRule="auto"/>
              <w:rPr>
                <w:sz w:val="16"/>
                <w:szCs w:val="16"/>
                <w:lang w:val="en-US"/>
              </w:rPr>
            </w:pPr>
            <w:r>
              <w:rPr>
                <w:sz w:val="16"/>
                <w:szCs w:val="16"/>
                <w:lang w:val="en-US"/>
              </w:rPr>
              <w:t>1,10±0,58</w:t>
            </w:r>
          </w:p>
        </w:tc>
        <w:tc>
          <w:tcPr>
            <w:tcW w:w="0" w:type="auto"/>
          </w:tcPr>
          <w:p w14:paraId="1BEFCEE6">
            <w:pPr>
              <w:spacing w:after="0" w:line="240" w:lineRule="auto"/>
              <w:rPr>
                <w:sz w:val="16"/>
                <w:szCs w:val="16"/>
                <w:lang w:val="en-US"/>
              </w:rPr>
            </w:pPr>
            <w:r>
              <w:rPr>
                <w:sz w:val="16"/>
                <w:szCs w:val="16"/>
                <w:lang w:val="en-US"/>
              </w:rPr>
              <w:t>7,51±0,55</w:t>
            </w:r>
          </w:p>
          <w:p w14:paraId="3588E523">
            <w:pPr>
              <w:spacing w:after="0" w:line="240" w:lineRule="auto"/>
              <w:rPr>
                <w:sz w:val="16"/>
                <w:szCs w:val="16"/>
                <w:lang w:val="en-US"/>
              </w:rPr>
            </w:pPr>
            <w:r>
              <w:rPr>
                <w:sz w:val="16"/>
                <w:szCs w:val="16"/>
                <w:lang w:val="en-US"/>
              </w:rPr>
              <w:t>-2,15±0,26</w:t>
            </w:r>
            <w:r>
              <w:rPr>
                <w:sz w:val="16"/>
                <w:szCs w:val="16"/>
                <w:vertAlign w:val="superscript"/>
                <w:lang w:val="en-US"/>
              </w:rPr>
              <w:t>r</w:t>
            </w:r>
          </w:p>
        </w:tc>
        <w:tc>
          <w:tcPr>
            <w:tcW w:w="0" w:type="auto"/>
          </w:tcPr>
          <w:p w14:paraId="1719CBCD">
            <w:pPr>
              <w:spacing w:after="0" w:line="240" w:lineRule="auto"/>
              <w:rPr>
                <w:sz w:val="16"/>
                <w:szCs w:val="16"/>
                <w:lang w:val="en-US"/>
              </w:rPr>
            </w:pPr>
            <w:r>
              <w:rPr>
                <w:sz w:val="16"/>
                <w:szCs w:val="16"/>
                <w:lang w:val="en-US"/>
              </w:rPr>
              <w:t>10,07±0,88</w:t>
            </w:r>
          </w:p>
          <w:p w14:paraId="6636C7D4">
            <w:pPr>
              <w:spacing w:after="0" w:line="240" w:lineRule="auto"/>
              <w:rPr>
                <w:sz w:val="16"/>
                <w:szCs w:val="16"/>
                <w:lang w:val="en-US"/>
              </w:rPr>
            </w:pPr>
            <w:r>
              <w:rPr>
                <w:sz w:val="16"/>
                <w:szCs w:val="16"/>
                <w:lang w:val="en-US"/>
              </w:rPr>
              <w:t>-1,09±0,41</w:t>
            </w:r>
            <w:r>
              <w:rPr>
                <w:sz w:val="16"/>
                <w:szCs w:val="16"/>
                <w:vertAlign w:val="superscript"/>
                <w:lang w:val="en-US"/>
              </w:rPr>
              <w:t>r</w:t>
            </w:r>
          </w:p>
        </w:tc>
        <w:tc>
          <w:tcPr>
            <w:tcW w:w="0" w:type="auto"/>
          </w:tcPr>
          <w:p w14:paraId="506BC505">
            <w:pPr>
              <w:spacing w:after="0" w:line="240" w:lineRule="auto"/>
              <w:rPr>
                <w:sz w:val="16"/>
                <w:szCs w:val="16"/>
                <w:lang w:val="en-US"/>
              </w:rPr>
            </w:pPr>
            <w:r>
              <w:rPr>
                <w:sz w:val="16"/>
                <w:szCs w:val="16"/>
                <w:lang w:val="en-US"/>
              </w:rPr>
              <w:t>2,56±0,82</w:t>
            </w:r>
          </w:p>
          <w:p w14:paraId="5DC51E2E">
            <w:pPr>
              <w:spacing w:after="0" w:line="240" w:lineRule="auto"/>
              <w:rPr>
                <w:sz w:val="16"/>
                <w:szCs w:val="16"/>
                <w:lang w:val="en-US"/>
              </w:rPr>
            </w:pPr>
            <w:r>
              <w:rPr>
                <w:sz w:val="16"/>
                <w:szCs w:val="16"/>
                <w:lang w:val="en-US"/>
              </w:rPr>
              <w:t>1,06±0,35*</w:t>
            </w:r>
          </w:p>
        </w:tc>
        <w:tc>
          <w:tcPr>
            <w:tcW w:w="0" w:type="auto"/>
          </w:tcPr>
          <w:p w14:paraId="56F9E2D2">
            <w:pPr>
              <w:spacing w:after="0" w:line="240" w:lineRule="auto"/>
              <w:rPr>
                <w:sz w:val="16"/>
                <w:szCs w:val="16"/>
                <w:lang w:val="en-US"/>
              </w:rPr>
            </w:pPr>
            <w:r>
              <w:rPr>
                <w:sz w:val="16"/>
                <w:szCs w:val="16"/>
                <w:lang w:val="en-US"/>
              </w:rPr>
              <w:t>0,00</w:t>
            </w:r>
          </w:p>
        </w:tc>
      </w:tr>
    </w:tbl>
    <w:p w14:paraId="5226CB66">
      <w:pPr>
        <w:jc w:val="left"/>
        <w:rPr>
          <w:rFonts w:hint="default"/>
          <w:i w:val="0"/>
          <w:iCs w:val="0"/>
          <w:sz w:val="16"/>
          <w:szCs w:val="16"/>
          <w:lang w:val="pl-PL"/>
        </w:rPr>
      </w:pPr>
      <w:r>
        <w:rPr>
          <w:i w:val="0"/>
          <w:iCs w:val="0"/>
          <w:sz w:val="16"/>
          <w:szCs w:val="16"/>
          <w:lang w:val="en-US" w:eastAsia="zh-CN"/>
        </w:rPr>
        <w:t xml:space="preserve">Source: </w:t>
      </w:r>
      <w:r>
        <w:rPr>
          <w:rFonts w:hint="default"/>
          <w:i w:val="0"/>
          <w:iCs w:val="0"/>
          <w:sz w:val="16"/>
          <w:szCs w:val="16"/>
          <w:lang w:val="pl-PL" w:eastAsia="zh-CN"/>
        </w:rPr>
        <w:t>Xxxxxxxxxxxxxxxxxxxxxxxx.</w:t>
      </w:r>
    </w:p>
    <w:p w14:paraId="629FDBA4">
      <w:pPr>
        <w:keepNext w:val="0"/>
        <w:keepLines w:val="0"/>
        <w:pageBreakBefore w:val="0"/>
        <w:widowControl/>
        <w:tabs>
          <w:tab w:val="center" w:pos="4153"/>
          <w:tab w:val="right" w:pos="8306"/>
        </w:tabs>
        <w:kinsoku/>
        <w:wordWrap/>
        <w:overflowPunct/>
        <w:topLinePunct w:val="0"/>
        <w:autoSpaceDE/>
        <w:autoSpaceDN/>
        <w:bidi w:val="0"/>
        <w:adjustRightInd/>
        <w:snapToGrid/>
        <w:ind w:firstLine="320" w:firstLineChars="200"/>
        <w:jc w:val="both"/>
        <w:textAlignment w:val="auto"/>
        <w:rPr>
          <w:rFonts w:hint="default"/>
          <w:sz w:val="16"/>
          <w:szCs w:val="16"/>
          <w:lang w:val="pl-PL"/>
        </w:rPr>
      </w:pPr>
      <w:r>
        <w:rPr>
          <w:rStyle w:val="55"/>
          <w:sz w:val="16"/>
          <w:szCs w:val="16"/>
          <w:lang w:val="en"/>
        </w:rPr>
        <w:t>Notes: For reference values, mean levels, their standard errors (top rows), and coefficients of variation (bottom rows) are given.</w:t>
      </w:r>
      <w:r>
        <w:rPr>
          <w:rStyle w:val="56"/>
          <w:sz w:val="16"/>
          <w:szCs w:val="16"/>
          <w:lang w:val="en"/>
        </w:rPr>
        <w:t xml:space="preserve"> </w:t>
      </w:r>
      <w:r>
        <w:rPr>
          <w:rStyle w:val="55"/>
          <w:sz w:val="16"/>
          <w:szCs w:val="16"/>
          <w:lang w:val="en"/>
        </w:rPr>
        <w:t>For groups, the top rows are the means and standard errors of the actual variables and their direct differences (changes);</w:t>
      </w:r>
      <w:r>
        <w:rPr>
          <w:rStyle w:val="56"/>
          <w:sz w:val="16"/>
          <w:szCs w:val="16"/>
          <w:lang w:val="en"/>
        </w:rPr>
        <w:t xml:space="preserve"> </w:t>
      </w:r>
      <w:r>
        <w:rPr>
          <w:rStyle w:val="55"/>
          <w:sz w:val="16"/>
          <w:szCs w:val="16"/>
          <w:lang w:val="en"/>
        </w:rPr>
        <w:t>the bottom rows are the same parameters for Z-scores.</w:t>
      </w:r>
      <w:r>
        <w:rPr>
          <w:rStyle w:val="56"/>
          <w:sz w:val="16"/>
          <w:szCs w:val="16"/>
          <w:lang w:val="en"/>
        </w:rPr>
        <w:t xml:space="preserve"> </w:t>
      </w:r>
      <w:r>
        <w:rPr>
          <w:rStyle w:val="55"/>
          <w:sz w:val="16"/>
          <w:szCs w:val="16"/>
          <w:lang w:val="en"/>
        </w:rPr>
        <w:t>Values</w:t>
      </w:r>
      <w:r>
        <w:rPr>
          <w:rStyle w:val="55"/>
          <w:sz w:val="16"/>
          <w:szCs w:val="16"/>
          <w:lang w:val="uk-UA"/>
        </w:rPr>
        <w:t xml:space="preserve"> </w:t>
      </w:r>
      <w:r>
        <w:rPr>
          <w:rStyle w:val="55"/>
          <w:sz w:val="16"/>
          <w:szCs w:val="16"/>
          <w:lang w:val="en-US"/>
        </w:rPr>
        <w:t>that are</w:t>
      </w:r>
      <w:r>
        <w:rPr>
          <w:rStyle w:val="55"/>
          <w:sz w:val="16"/>
          <w:szCs w:val="16"/>
          <w:lang w:val="uk-UA"/>
        </w:rPr>
        <w:t xml:space="preserve"> </w:t>
      </w:r>
      <w:r>
        <w:rPr>
          <w:rStyle w:val="55"/>
          <w:sz w:val="16"/>
          <w:szCs w:val="16"/>
          <w:lang w:val="en"/>
        </w:rPr>
        <w:t>significantly different from the reference are marked with r.</w:t>
      </w:r>
      <w:r>
        <w:rPr>
          <w:rStyle w:val="56"/>
          <w:sz w:val="16"/>
          <w:szCs w:val="16"/>
          <w:lang w:val="en"/>
        </w:rPr>
        <w:t xml:space="preserve"> </w:t>
      </w:r>
      <w:r>
        <w:rPr>
          <w:rStyle w:val="55"/>
          <w:sz w:val="16"/>
          <w:szCs w:val="16"/>
          <w:lang w:val="en"/>
        </w:rPr>
        <w:t>Significant direct differences (effects) are marked *. The last column shows the t values for effects.</w:t>
      </w:r>
      <w:r>
        <w:rPr>
          <w:rStyle w:val="55"/>
          <w:rFonts w:hint="default"/>
          <w:sz w:val="16"/>
          <w:szCs w:val="16"/>
          <w:lang w:val="pl-PL"/>
        </w:rPr>
        <w:t xml:space="preserve"> </w:t>
      </w:r>
      <w:r>
        <w:rPr>
          <w:rFonts w:hint="default" w:ascii="Times New Roman" w:hAnsi="Times New Roman" w:cs="Times New Roman"/>
          <w:b/>
          <w:color w:val="0000FF"/>
          <w:sz w:val="16"/>
          <w:szCs w:val="16"/>
          <w:lang w:val="pl-PL"/>
        </w:rPr>
        <w:t>(8 pt</w:t>
      </w:r>
      <w:r>
        <w:rPr>
          <w:rFonts w:hint="default" w:ascii="Times New Roman" w:hAnsi="Times New Roman" w:cs="Times New Roman"/>
          <w:b/>
          <w:color w:val="0000FF"/>
          <w:sz w:val="16"/>
          <w:szCs w:val="16"/>
          <w:lang w:val="en-US"/>
        </w:rPr>
        <w:t xml:space="preserve"> Times New Roman, Bold, Left</w:t>
      </w:r>
      <w:r>
        <w:rPr>
          <w:rFonts w:hint="default" w:ascii="Times New Roman" w:hAnsi="Times New Roman" w:cs="Times New Roman"/>
          <w:b/>
          <w:color w:val="0000FF"/>
          <w:sz w:val="16"/>
          <w:szCs w:val="16"/>
          <w:lang w:val="pl-PL"/>
        </w:rPr>
        <w:t>)</w:t>
      </w:r>
    </w:p>
    <w:p w14:paraId="3A757F9D">
      <w:pPr>
        <w:jc w:val="both"/>
        <w:rPr>
          <w:rStyle w:val="55"/>
          <w:sz w:val="16"/>
          <w:szCs w:val="16"/>
          <w:lang w:val="en"/>
        </w:rPr>
      </w:pPr>
    </w:p>
    <w:p w14:paraId="7BC05DB0">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60CC4E5A">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342F41D0">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58578CF9">
      <w:pPr>
        <w:spacing w:line="360" w:lineRule="auto"/>
        <w:jc w:val="both"/>
        <w:rPr>
          <w:sz w:val="24"/>
          <w:szCs w:val="24"/>
          <w:lang w:val="en-GB" w:eastAsia="pl-PL"/>
        </w:rPr>
      </w:pPr>
      <w:r>
        <w:rPr>
          <w:sz w:val="24"/>
          <w:szCs w:val="24"/>
          <w:lang w:val="en-GB" w:eastAsia="pl-PL"/>
        </w:rPr>
        <w:tab/>
      </w:r>
      <w:r>
        <w:rPr>
          <w:sz w:val="24"/>
          <w:szCs w:val="24"/>
          <w:lang w:val="en-GB" w:eastAsia="pl-PL"/>
        </w:rPr>
        <w:t>Xxxxxxxxxxxxxxxxxxxxxxxxxxxxxxxxxxxxxxxxxxxxxxxxxxxxxxxxxxxxxxxxxxxxxxxxxxxxxxxxxxxxxxxxxxxxxxxxxxxxxxxxxxxxxxxxxxxxxxxxxxxxxxxxxxxxxxxxxxxxxxxxxxxxxxxxxxxxxxxxxxxxxxxxxxxxxxxxxxxxxxxxxxxxxxxxxx (1).</w:t>
      </w:r>
    </w:p>
    <w:p w14:paraId="72A54DA2">
      <w:pPr>
        <w:spacing w:line="360" w:lineRule="auto"/>
        <w:jc w:val="both"/>
        <w:rPr>
          <w:sz w:val="24"/>
          <w:szCs w:val="24"/>
          <w:lang w:val="en-GB" w:eastAsia="pl-PL"/>
        </w:rPr>
      </w:pPr>
    </w:p>
    <w:p w14:paraId="757063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24"/>
          <w:szCs w:val="24"/>
          <w:shd w:val="clear" w:fill="FFFFFF"/>
          <w:lang w:val="pl-PL"/>
        </w:rPr>
      </w:pPr>
      <w:r>
        <w:rPr>
          <w:rFonts w:hint="default" w:ascii="Times New Roman" w:hAnsi="Times New Roman" w:eastAsia="Tahoma" w:cs="Times New Roman"/>
          <w:b/>
          <w:bCs/>
          <w:i w:val="0"/>
          <w:iCs w:val="0"/>
          <w:caps w:val="0"/>
          <w:color w:val="262626"/>
          <w:spacing w:val="0"/>
          <w:sz w:val="24"/>
          <w:szCs w:val="24"/>
          <w:shd w:val="clear" w:fill="FFFFFF"/>
          <w:lang w:val="pl-PL"/>
        </w:rPr>
        <w:t xml:space="preserve">3.4. </w:t>
      </w:r>
      <w:r>
        <w:rPr>
          <w:rFonts w:hint="default" w:ascii="Times New Roman" w:hAnsi="Times New Roman" w:eastAsia="Tahoma" w:cs="Times New Roman"/>
          <w:b/>
          <w:bCs/>
          <w:i w:val="0"/>
          <w:iCs w:val="0"/>
          <w:caps w:val="0"/>
          <w:color w:val="262626"/>
          <w:spacing w:val="0"/>
          <w:sz w:val="24"/>
          <w:szCs w:val="24"/>
          <w:shd w:val="clear" w:fill="FFFFFF"/>
        </w:rPr>
        <w:t>Statistical Hypothesis Testing</w:t>
      </w:r>
      <w:r>
        <w:rPr>
          <w:rFonts w:hint="default" w:ascii="Times New Roman" w:hAnsi="Times New Roman" w:eastAsia="Tahoma" w:cs="Times New Roman"/>
          <w:b/>
          <w:bCs/>
          <w:i w:val="0"/>
          <w:iCs w:val="0"/>
          <w:caps w:val="0"/>
          <w:color w:val="262626"/>
          <w:spacing w:val="0"/>
          <w:sz w:val="24"/>
          <w:szCs w:val="24"/>
          <w:shd w:val="clear" w:fill="FFFFFF"/>
          <w:lang w:val="pl-PL"/>
        </w:rPr>
        <w:t xml:space="preserve">. </w:t>
      </w:r>
      <w:r>
        <w:rPr>
          <w:rFonts w:hint="default" w:ascii="Times New Roman" w:hAnsi="Times New Roman" w:eastAsia="Tahoma"/>
          <w:b/>
          <w:bCs/>
          <w:i w:val="0"/>
          <w:iCs w:val="0"/>
          <w:caps w:val="0"/>
          <w:color w:val="262626"/>
          <w:spacing w:val="0"/>
          <w:sz w:val="24"/>
          <w:szCs w:val="24"/>
          <w:shd w:val="clear" w:fill="FFFFFF"/>
          <w:lang w:val="pl-PL"/>
        </w:rPr>
        <w:t>Developed using Claude 3.7 Sonnet by Anthropic.</w:t>
      </w:r>
    </w:p>
    <w:p w14:paraId="16CA3A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24"/>
          <w:szCs w:val="24"/>
          <w:shd w:val="clear" w:fill="FFFFFF"/>
        </w:rPr>
      </w:pPr>
      <w:r>
        <w:rPr>
          <w:rFonts w:hint="default" w:ascii="Times New Roman" w:hAnsi="Times New Roman" w:eastAsia="Tahoma" w:cs="Times New Roman"/>
          <w:b/>
          <w:bCs/>
          <w:i w:val="0"/>
          <w:iCs w:val="0"/>
          <w:caps w:val="0"/>
          <w:color w:val="262626"/>
          <w:spacing w:val="0"/>
          <w:sz w:val="24"/>
          <w:szCs w:val="24"/>
          <w:shd w:val="clear" w:fill="FFFFFF"/>
        </w:rPr>
        <w:t>Hypothesis Formulation</w:t>
      </w:r>
    </w:p>
    <w:p w14:paraId="1F184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24"/>
          <w:szCs w:val="24"/>
          <w:shd w:val="clear" w:fill="FFFFFF"/>
        </w:rPr>
      </w:pPr>
    </w:p>
    <w:p w14:paraId="19E44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24"/>
          <w:szCs w:val="24"/>
        </w:rPr>
      </w:pPr>
      <w:r>
        <w:rPr>
          <w:rFonts w:hint="default" w:ascii="Times New Roman" w:hAnsi="Times New Roman" w:eastAsia="Tahoma" w:cs="Times New Roman"/>
          <w:b/>
          <w:bCs/>
          <w:i w:val="0"/>
          <w:iCs w:val="0"/>
          <w:caps w:val="0"/>
          <w:color w:val="262626"/>
          <w:spacing w:val="0"/>
          <w:sz w:val="24"/>
          <w:szCs w:val="24"/>
          <w:shd w:val="clear" w:fill="FFFFFF"/>
        </w:rPr>
        <w:t>Hypothesis 1: Effect of ATINE on NK Cell Levels</w:t>
      </w:r>
    </w:p>
    <w:p w14:paraId="0CCA2A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H₀</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does not increase NK cell levels (μ₁ ≤ μ₀)</w:t>
      </w:r>
    </w:p>
    <w:p w14:paraId="7E0944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H₁</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significantly increases NK cell levels (μ₁ &gt; μ₀)</w:t>
      </w:r>
    </w:p>
    <w:p w14:paraId="546DC1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 w:leftChars="0" w:right="0" w:firstLine="0" w:firstLineChars="0"/>
        <w:jc w:val="both"/>
        <w:textAlignment w:val="auto"/>
        <w:outlineLvl w:val="9"/>
        <w:rPr>
          <w:rFonts w:hint="default" w:ascii="Times New Roman" w:hAnsi="Times New Roman" w:eastAsia="Tahoma" w:cs="Times New Roman"/>
          <w:b/>
          <w:bCs/>
          <w:i w:val="0"/>
          <w:iCs w:val="0"/>
          <w:caps w:val="0"/>
          <w:color w:val="262626"/>
          <w:spacing w:val="0"/>
          <w:sz w:val="24"/>
          <w:szCs w:val="24"/>
          <w:shd w:val="clear" w:fill="FFFFFF"/>
        </w:rPr>
      </w:pPr>
    </w:p>
    <w:p w14:paraId="2EA4C9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 w:leftChars="0" w:right="0" w:firstLine="0" w:firstLineChars="0"/>
        <w:jc w:val="both"/>
        <w:textAlignment w:val="auto"/>
        <w:outlineLvl w:val="9"/>
        <w:rPr>
          <w:rFonts w:hint="default" w:ascii="Times New Roman" w:hAnsi="Times New Roman" w:eastAsia="Tahoma" w:cs="Times New Roman"/>
          <w:b/>
          <w:bCs/>
          <w:i w:val="0"/>
          <w:iCs w:val="0"/>
          <w:caps w:val="0"/>
          <w:color w:val="262626"/>
          <w:spacing w:val="0"/>
          <w:sz w:val="24"/>
          <w:szCs w:val="24"/>
        </w:rPr>
      </w:pPr>
      <w:r>
        <w:rPr>
          <w:rFonts w:hint="default" w:ascii="Times New Roman" w:hAnsi="Times New Roman" w:eastAsia="Tahoma" w:cs="Times New Roman"/>
          <w:b/>
          <w:bCs/>
          <w:i w:val="0"/>
          <w:iCs w:val="0"/>
          <w:caps w:val="0"/>
          <w:color w:val="262626"/>
          <w:spacing w:val="0"/>
          <w:sz w:val="24"/>
          <w:szCs w:val="24"/>
          <w:shd w:val="clear" w:fill="FFFFFF"/>
        </w:rPr>
        <w:t>Hypothesis 2: Effect of ATINE on T-killer Cell Levels</w:t>
      </w:r>
    </w:p>
    <w:p w14:paraId="6F04EF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H₀</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does not increase T-killer cell levels (μ₁ ≤ μ₀)</w:t>
      </w:r>
    </w:p>
    <w:p w14:paraId="29974F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H₁</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significantly increases T-killer cell levels (μ₁ &gt; μ₀)</w:t>
      </w:r>
    </w:p>
    <w:p w14:paraId="05965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 w:leftChars="0" w:right="0" w:firstLine="0" w:firstLineChars="0"/>
        <w:jc w:val="both"/>
        <w:textAlignment w:val="auto"/>
        <w:outlineLvl w:val="9"/>
        <w:rPr>
          <w:rFonts w:hint="default" w:ascii="Times New Roman" w:hAnsi="Times New Roman" w:eastAsia="Tahoma" w:cs="Times New Roman"/>
          <w:b/>
          <w:bCs/>
          <w:i w:val="0"/>
          <w:iCs w:val="0"/>
          <w:caps w:val="0"/>
          <w:color w:val="262626"/>
          <w:spacing w:val="0"/>
          <w:sz w:val="24"/>
          <w:szCs w:val="24"/>
          <w:shd w:val="clear" w:fill="FFFFFF"/>
        </w:rPr>
      </w:pPr>
    </w:p>
    <w:p w14:paraId="10073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 w:leftChars="0" w:right="0" w:firstLine="0" w:firstLineChars="0"/>
        <w:jc w:val="both"/>
        <w:textAlignment w:val="auto"/>
        <w:outlineLvl w:val="9"/>
        <w:rPr>
          <w:rFonts w:hint="default" w:ascii="Times New Roman" w:hAnsi="Times New Roman" w:eastAsia="Tahoma" w:cs="Times New Roman"/>
          <w:b/>
          <w:bCs/>
          <w:i w:val="0"/>
          <w:iCs w:val="0"/>
          <w:caps w:val="0"/>
          <w:color w:val="262626"/>
          <w:spacing w:val="0"/>
          <w:sz w:val="24"/>
          <w:szCs w:val="24"/>
        </w:rPr>
      </w:pPr>
      <w:r>
        <w:rPr>
          <w:rFonts w:hint="default" w:ascii="Times New Roman" w:hAnsi="Times New Roman" w:eastAsia="Tahoma" w:cs="Times New Roman"/>
          <w:b/>
          <w:bCs/>
          <w:i w:val="0"/>
          <w:iCs w:val="0"/>
          <w:caps w:val="0"/>
          <w:color w:val="262626"/>
          <w:spacing w:val="0"/>
          <w:sz w:val="24"/>
          <w:szCs w:val="24"/>
          <w:shd w:val="clear" w:fill="FFFFFF"/>
        </w:rPr>
        <w:t>Hypothesis 3: Effect of ATINE on IgM Levels</w:t>
      </w:r>
    </w:p>
    <w:p w14:paraId="5EC63E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H₀</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does not decrease IgM levels (μ₁ ≥ μ₀)</w:t>
      </w:r>
    </w:p>
    <w:p w14:paraId="1AF8F2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2" w:leftChars="0" w:right="0" w:rightChars="0" w:firstLine="0" w:firstLineChars="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H₁</w:t>
      </w:r>
      <w:r>
        <w:rPr>
          <w:rFonts w:hint="default" w:ascii="Times New Roman" w:hAnsi="Times New Roman" w:eastAsia="Tahoma" w:cs="Times New Roman"/>
          <w:i w:val="0"/>
          <w:iCs w:val="0"/>
          <w:caps w:val="0"/>
          <w:color w:val="262626"/>
          <w:spacing w:val="0"/>
          <w:sz w:val="24"/>
          <w:szCs w:val="24"/>
          <w:shd w:val="clear" w:fill="FFFFFF"/>
        </w:rPr>
        <w:t>: The addition of ATINE tea to standard balneotherapy significantly decreases IgM levels (μ₁ &lt; μ₀)</w:t>
      </w:r>
    </w:p>
    <w:p w14:paraId="44B89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2" w:leftChars="0" w:right="0" w:firstLine="0" w:firstLineChars="0"/>
        <w:jc w:val="both"/>
        <w:textAlignment w:val="auto"/>
        <w:outlineLvl w:val="9"/>
        <w:rPr>
          <w:rFonts w:hint="default" w:ascii="Times New Roman" w:hAnsi="Times New Roman" w:eastAsia="Tahoma" w:cs="Times New Roman"/>
          <w:i w:val="0"/>
          <w:iCs w:val="0"/>
          <w:caps w:val="0"/>
          <w:color w:val="262626"/>
          <w:spacing w:val="0"/>
          <w:sz w:val="24"/>
          <w:szCs w:val="24"/>
          <w:shd w:val="clear" w:fill="FFFFFF"/>
        </w:rPr>
      </w:pPr>
    </w:p>
    <w:p w14:paraId="017A0F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i w:val="0"/>
          <w:iCs w:val="0"/>
          <w:caps w:val="0"/>
          <w:color w:val="262626"/>
          <w:spacing w:val="0"/>
          <w:sz w:val="24"/>
          <w:szCs w:val="24"/>
          <w:lang w:val="pl-PL"/>
        </w:rPr>
      </w:pPr>
      <w:r>
        <w:rPr>
          <w:rFonts w:hint="default" w:ascii="Times New Roman" w:hAnsi="Times New Roman" w:eastAsia="Tahoma" w:cs="Times New Roman"/>
          <w:b/>
          <w:bCs/>
          <w:i w:val="0"/>
          <w:iCs w:val="0"/>
          <w:caps w:val="0"/>
          <w:color w:val="262626"/>
          <w:spacing w:val="0"/>
          <w:sz w:val="24"/>
          <w:szCs w:val="24"/>
          <w:shd w:val="clear" w:fill="FFFFFF"/>
        </w:rPr>
        <w:t>Statistical Testing</w:t>
      </w:r>
      <w:r>
        <w:rPr>
          <w:rFonts w:hint="default" w:ascii="Times New Roman" w:hAnsi="Times New Roman" w:eastAsia="Tahoma" w:cs="Times New Roman"/>
          <w:b/>
          <w:bCs/>
          <w:i w:val="0"/>
          <w:iCs w:val="0"/>
          <w:caps w:val="0"/>
          <w:color w:val="262626"/>
          <w:spacing w:val="0"/>
          <w:sz w:val="24"/>
          <w:szCs w:val="24"/>
          <w:shd w:val="clear" w:fill="FFFFFF"/>
          <w:lang w:val="pl-PL"/>
        </w:rPr>
        <w:t>.</w:t>
      </w:r>
      <w:r>
        <w:rPr>
          <w:rFonts w:hint="default" w:ascii="Times New Roman" w:hAnsi="Times New Roman" w:eastAsia="Tahoma" w:cs="Times New Roman"/>
          <w:i w:val="0"/>
          <w:iCs w:val="0"/>
          <w:caps w:val="0"/>
          <w:color w:val="262626"/>
          <w:spacing w:val="0"/>
          <w:sz w:val="24"/>
          <w:szCs w:val="24"/>
          <w:shd w:val="clear" w:fill="FFFFFF"/>
          <w:lang w:val="pl-PL"/>
        </w:rPr>
        <w:t xml:space="preserve"> </w:t>
      </w:r>
      <w:r>
        <w:rPr>
          <w:rFonts w:hint="default" w:ascii="Times New Roman" w:hAnsi="Times New Roman" w:eastAsia="Tahoma"/>
          <w:i w:val="0"/>
          <w:iCs w:val="0"/>
          <w:caps w:val="0"/>
          <w:color w:val="262626"/>
          <w:spacing w:val="0"/>
          <w:sz w:val="24"/>
          <w:szCs w:val="24"/>
          <w:shd w:val="clear" w:fill="FFFFFF"/>
          <w:lang w:val="pl-PL"/>
        </w:rPr>
        <w:t>Developed using Claude 3.7 Sonnet by Anthropic.</w:t>
      </w:r>
    </w:p>
    <w:p w14:paraId="00A610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16"/>
          <w:szCs w:val="16"/>
          <w:lang w:val="pl-PL"/>
        </w:rPr>
      </w:pPr>
      <w:r>
        <w:rPr>
          <w:rFonts w:hint="default" w:ascii="Times New Roman" w:hAnsi="Times New Roman" w:eastAsia="Tahoma" w:cs="Times New Roman"/>
          <w:b/>
          <w:bCs/>
          <w:i w:val="0"/>
          <w:iCs w:val="0"/>
          <w:caps w:val="0"/>
          <w:color w:val="262626"/>
          <w:spacing w:val="0"/>
          <w:sz w:val="16"/>
          <w:szCs w:val="16"/>
          <w:shd w:val="clear" w:fill="FFFFFF"/>
        </w:rPr>
        <w:t>Table 1</w:t>
      </w:r>
      <w:r>
        <w:rPr>
          <w:rFonts w:hint="default" w:ascii="Times New Roman" w:hAnsi="Times New Roman" w:eastAsia="Tahoma" w:cs="Times New Roman"/>
          <w:b/>
          <w:bCs/>
          <w:i w:val="0"/>
          <w:iCs w:val="0"/>
          <w:caps w:val="0"/>
          <w:color w:val="262626"/>
          <w:spacing w:val="0"/>
          <w:sz w:val="16"/>
          <w:szCs w:val="16"/>
          <w:shd w:val="clear" w:fill="FFFFFF"/>
          <w:lang w:val="pl-PL"/>
        </w:rPr>
        <w:t>2.</w:t>
      </w:r>
      <w:r>
        <w:rPr>
          <w:rFonts w:hint="default" w:ascii="Times New Roman" w:hAnsi="Times New Roman" w:eastAsia="Tahoma" w:cs="Times New Roman"/>
          <w:b/>
          <w:bCs/>
          <w:i w:val="0"/>
          <w:iCs w:val="0"/>
          <w:caps w:val="0"/>
          <w:color w:val="262626"/>
          <w:spacing w:val="0"/>
          <w:sz w:val="16"/>
          <w:szCs w:val="16"/>
          <w:shd w:val="clear" w:fill="FFFFFF"/>
        </w:rPr>
        <w:t xml:space="preserve"> Statistical Analysis of Immune Parameters</w:t>
      </w:r>
      <w:r>
        <w:rPr>
          <w:rFonts w:hint="default" w:ascii="Times New Roman" w:hAnsi="Times New Roman" w:eastAsia="Tahoma" w:cs="Times New Roman"/>
          <w:b/>
          <w:bCs/>
          <w:i w:val="0"/>
          <w:iCs w:val="0"/>
          <w:caps w:val="0"/>
          <w:color w:val="262626"/>
          <w:spacing w:val="0"/>
          <w:sz w:val="16"/>
          <w:szCs w:val="16"/>
          <w:shd w:val="clear" w:fill="FFFFFF"/>
          <w:lang w:val="pl-PL"/>
        </w:rPr>
        <w:t xml:space="preserve">. </w:t>
      </w:r>
      <w:r>
        <w:rPr>
          <w:rFonts w:hint="default" w:ascii="Times New Roman" w:hAnsi="Times New Roman" w:eastAsia="Tahoma"/>
          <w:b/>
          <w:bCs/>
          <w:i w:val="0"/>
          <w:iCs w:val="0"/>
          <w:caps w:val="0"/>
          <w:color w:val="262626"/>
          <w:spacing w:val="0"/>
          <w:sz w:val="16"/>
          <w:szCs w:val="16"/>
          <w:shd w:val="clear" w:fill="FFFFFF"/>
          <w:lang w:val="pl-PL"/>
        </w:rPr>
        <w:t>Developed using Claude 3.7 Sonnet by Anthropic.</w:t>
      </w:r>
    </w:p>
    <w:tbl>
      <w:tblPr>
        <w:tblStyle w:val="6"/>
        <w:tblW w:w="0" w:type="auto"/>
        <w:tblInd w:w="0" w:type="dxa"/>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19"/>
        <w:gridCol w:w="2075"/>
        <w:gridCol w:w="2073"/>
        <w:gridCol w:w="1129"/>
        <w:gridCol w:w="862"/>
        <w:gridCol w:w="897"/>
      </w:tblGrid>
      <w:tr w14:paraId="0833D3F5">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C87A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Parameter</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2055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Standard Balneotherapy</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C489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Balneotherapy + ATINE</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BF75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Difference</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2E0F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t-value</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A3D4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p-value</w:t>
            </w:r>
          </w:p>
        </w:tc>
      </w:tr>
      <w:tr w14:paraId="22B10A2E">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BC5E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NK cells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7916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+0.51±0.09</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2B9D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+0.97±0.10</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5FDF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+0.46±0.10</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60750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4.60</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6A4C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&lt;0.001</w:t>
            </w:r>
          </w:p>
        </w:tc>
      </w:tr>
      <w:tr w14:paraId="2D08F4B0">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55BA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T-killers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11D3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+0.05±0.56</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23A6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+1.36±0.46</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7428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+1.31±0.51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F1AE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2.57</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BBEA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0.013</w:t>
            </w:r>
          </w:p>
        </w:tc>
      </w:tr>
      <w:tr w14:paraId="0A5967B8">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4442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IgM</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1AE6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-1.47±0.28</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6FAC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-2.59±0.44</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A685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-1.12±0.36</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4AB1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3.11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6ACA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0.003</w:t>
            </w:r>
          </w:p>
        </w:tc>
      </w:tr>
      <w:tr w14:paraId="3800EB27">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85B6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T-helpers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53F28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-0.54±0.28</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A403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-1.16±0.23</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C60C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-0.62±0.26</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6CC5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2.38</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E231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0.021</w:t>
            </w:r>
          </w:p>
        </w:tc>
      </w:tr>
      <w:tr w14:paraId="001DF0AB">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ED1B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CIC</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283B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-0.12±0.30</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F673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+0.77±0.34</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CD9A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+0.89±0.32</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23D5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2.78</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0A31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0.008</w:t>
            </w:r>
          </w:p>
        </w:tc>
      </w:tr>
    </w:tbl>
    <w:p w14:paraId="54BD96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16"/>
          <w:szCs w:val="16"/>
          <w:shd w:val="clear" w:fill="FFFFFF"/>
        </w:rPr>
      </w:pPr>
    </w:p>
    <w:p w14:paraId="02B98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b/>
          <w:bCs/>
          <w:i w:val="0"/>
          <w:iCs w:val="0"/>
          <w:caps w:val="0"/>
          <w:color w:val="262626"/>
          <w:spacing w:val="0"/>
          <w:sz w:val="16"/>
          <w:szCs w:val="16"/>
          <w:lang w:val="pl-PL"/>
        </w:rPr>
      </w:pPr>
      <w:r>
        <w:rPr>
          <w:rFonts w:hint="default" w:ascii="Times New Roman" w:hAnsi="Times New Roman" w:eastAsia="Tahoma" w:cs="Times New Roman"/>
          <w:b/>
          <w:bCs/>
          <w:i w:val="0"/>
          <w:iCs w:val="0"/>
          <w:caps w:val="0"/>
          <w:color w:val="262626"/>
          <w:spacing w:val="0"/>
          <w:sz w:val="16"/>
          <w:szCs w:val="16"/>
          <w:shd w:val="clear" w:fill="FFFFFF"/>
        </w:rPr>
        <w:t xml:space="preserve">Table </w:t>
      </w:r>
      <w:r>
        <w:rPr>
          <w:rFonts w:hint="default" w:ascii="Times New Roman" w:hAnsi="Times New Roman" w:eastAsia="Tahoma" w:cs="Times New Roman"/>
          <w:b/>
          <w:bCs/>
          <w:i w:val="0"/>
          <w:iCs w:val="0"/>
          <w:caps w:val="0"/>
          <w:color w:val="262626"/>
          <w:spacing w:val="0"/>
          <w:sz w:val="16"/>
          <w:szCs w:val="16"/>
          <w:shd w:val="clear" w:fill="FFFFFF"/>
          <w:lang w:val="pl-PL"/>
        </w:rPr>
        <w:t>13.</w:t>
      </w:r>
      <w:r>
        <w:rPr>
          <w:rFonts w:hint="default" w:ascii="Times New Roman" w:hAnsi="Times New Roman" w:eastAsia="Tahoma" w:cs="Times New Roman"/>
          <w:b/>
          <w:bCs/>
          <w:i w:val="0"/>
          <w:iCs w:val="0"/>
          <w:caps w:val="0"/>
          <w:color w:val="262626"/>
          <w:spacing w:val="0"/>
          <w:sz w:val="16"/>
          <w:szCs w:val="16"/>
          <w:shd w:val="clear" w:fill="FFFFFF"/>
        </w:rPr>
        <w:t xml:space="preserve"> Discriminant Analysis Results</w:t>
      </w:r>
      <w:r>
        <w:rPr>
          <w:rFonts w:hint="default" w:ascii="Times New Roman" w:hAnsi="Times New Roman" w:eastAsia="Tahoma" w:cs="Times New Roman"/>
          <w:b/>
          <w:bCs/>
          <w:i w:val="0"/>
          <w:iCs w:val="0"/>
          <w:caps w:val="0"/>
          <w:color w:val="262626"/>
          <w:spacing w:val="0"/>
          <w:sz w:val="16"/>
          <w:szCs w:val="16"/>
          <w:shd w:val="clear" w:fill="FFFFFF"/>
          <w:lang w:val="pl-PL"/>
        </w:rPr>
        <w:t xml:space="preserve">. </w:t>
      </w:r>
      <w:r>
        <w:rPr>
          <w:rFonts w:hint="default" w:ascii="Times New Roman" w:hAnsi="Times New Roman" w:eastAsia="Tahoma"/>
          <w:b/>
          <w:bCs/>
          <w:i w:val="0"/>
          <w:iCs w:val="0"/>
          <w:caps w:val="0"/>
          <w:color w:val="262626"/>
          <w:spacing w:val="0"/>
          <w:sz w:val="16"/>
          <w:szCs w:val="16"/>
          <w:shd w:val="clear" w:fill="FFFFFF"/>
          <w:lang w:val="pl-PL"/>
        </w:rPr>
        <w:t>Developed using Claude 3.7 Sonnet by Anthropic.</w:t>
      </w:r>
    </w:p>
    <w:tbl>
      <w:tblPr>
        <w:tblStyle w:val="6"/>
        <w:tblW w:w="0" w:type="auto"/>
        <w:tblInd w:w="0" w:type="dxa"/>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119"/>
        <w:gridCol w:w="1453"/>
        <w:gridCol w:w="906"/>
        <w:gridCol w:w="844"/>
        <w:gridCol w:w="2728"/>
      </w:tblGrid>
      <w:tr w14:paraId="46E9ACD7">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1B2C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Parameter</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0D4E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Wilks' Lambda</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C066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F-value</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68D28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p-level</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709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b/>
                <w:bCs/>
                <w:i w:val="0"/>
                <w:iCs w:val="0"/>
                <w:caps w:val="0"/>
                <w:color w:val="262626"/>
                <w:spacing w:val="0"/>
                <w:sz w:val="16"/>
                <w:szCs w:val="16"/>
              </w:rPr>
            </w:pPr>
            <w:r>
              <w:rPr>
                <w:rFonts w:hint="default" w:ascii="Times New Roman" w:hAnsi="Times New Roman" w:eastAsia="Tahoma" w:cs="Times New Roman"/>
                <w:b/>
                <w:bCs/>
                <w:i w:val="0"/>
                <w:iCs w:val="0"/>
                <w:caps w:val="0"/>
                <w:color w:val="262626"/>
                <w:spacing w:val="0"/>
                <w:kern w:val="0"/>
                <w:sz w:val="16"/>
                <w:szCs w:val="16"/>
                <w:lang w:val="en-US" w:eastAsia="zh-CN" w:bidi="ar"/>
              </w:rPr>
              <w:t>Discriminant Function Coefficient</w:t>
            </w:r>
          </w:p>
        </w:tc>
      </w:tr>
      <w:tr w14:paraId="505FE2E1">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DE9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NK cells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6932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0.783</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0F56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12.7</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6FD0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&lt;0.001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1BAE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0.654</w:t>
            </w:r>
          </w:p>
        </w:tc>
      </w:tr>
      <w:tr w14:paraId="0E4A38E5">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5E4D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T-killers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25C4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0.692</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60961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8.9</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C6AF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&lt;0.001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5E38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0.547</w:t>
            </w:r>
          </w:p>
        </w:tc>
      </w:tr>
      <w:tr w14:paraId="648AF712">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99BF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IgM</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0804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0.715</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23E9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9.8</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4D20F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&lt;0.001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76201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-0.498</w:t>
            </w:r>
          </w:p>
        </w:tc>
      </w:tr>
      <w:tr w14:paraId="004A4EBD">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5442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T-helpers</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6884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0.831</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FA47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5.7</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22DD4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0.005</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6238F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-0.412</w:t>
            </w:r>
          </w:p>
        </w:tc>
      </w:tr>
      <w:tr w14:paraId="5049BD03">
        <w:tblPrEx>
          <w:tblBorders>
            <w:top w:val="single" w:color="D8DEE4"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69148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CIC</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5DFE5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0.805</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321A5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6.9</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13892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0.002</w:t>
            </w:r>
          </w:p>
        </w:tc>
        <w:tc>
          <w:tcPr>
            <w:tcW w:w="0" w:type="auto"/>
            <w:tcBorders>
              <w:top w:val="single" w:color="D9D9DD" w:sz="6" w:space="0"/>
              <w:left w:val="single" w:color="D9D9DD" w:sz="6" w:space="0"/>
              <w:bottom w:val="single" w:color="D9D9DD" w:sz="6" w:space="0"/>
              <w:right w:val="single" w:color="D9D9DD" w:sz="6" w:space="0"/>
            </w:tcBorders>
            <w:shd w:val="clear" w:color="auto" w:fill="FFFFFF"/>
            <w:tcMar>
              <w:top w:w="90" w:type="dxa"/>
              <w:left w:w="195" w:type="dxa"/>
              <w:bottom w:w="90" w:type="dxa"/>
              <w:right w:w="195" w:type="dxa"/>
            </w:tcMar>
            <w:vAlign w:val="center"/>
          </w:tcPr>
          <w:p w14:paraId="0E7F5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16"/>
                <w:szCs w:val="16"/>
              </w:rPr>
            </w:pPr>
            <w:r>
              <w:rPr>
                <w:rFonts w:hint="default" w:ascii="Times New Roman" w:hAnsi="Times New Roman" w:eastAsia="Tahoma" w:cs="Times New Roman"/>
                <w:i w:val="0"/>
                <w:iCs w:val="0"/>
                <w:caps w:val="0"/>
                <w:color w:val="262626"/>
                <w:spacing w:val="0"/>
                <w:kern w:val="0"/>
                <w:sz w:val="16"/>
                <w:szCs w:val="16"/>
                <w:lang w:val="en-US" w:eastAsia="zh-CN" w:bidi="ar"/>
              </w:rPr>
              <w:t>0.389</w:t>
            </w:r>
          </w:p>
        </w:tc>
      </w:tr>
    </w:tbl>
    <w:p w14:paraId="5E392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i w:val="0"/>
          <w:iCs w:val="0"/>
          <w:caps w:val="0"/>
          <w:color w:val="262626"/>
          <w:spacing w:val="0"/>
          <w:sz w:val="24"/>
          <w:szCs w:val="24"/>
          <w:shd w:val="clear" w:fill="FFFFFF"/>
        </w:rPr>
      </w:pPr>
    </w:p>
    <w:p w14:paraId="48DF9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i w:val="0"/>
          <w:iCs w:val="0"/>
          <w:caps w:val="0"/>
          <w:color w:val="262626"/>
          <w:spacing w:val="0"/>
          <w:sz w:val="24"/>
          <w:szCs w:val="24"/>
        </w:rPr>
      </w:pPr>
      <w:r>
        <w:rPr>
          <w:rFonts w:hint="default" w:ascii="Times New Roman" w:hAnsi="Times New Roman" w:eastAsia="Tahoma" w:cs="Times New Roman"/>
          <w:i w:val="0"/>
          <w:iCs w:val="0"/>
          <w:caps w:val="0"/>
          <w:color w:val="262626"/>
          <w:spacing w:val="0"/>
          <w:sz w:val="24"/>
          <w:szCs w:val="24"/>
          <w:shd w:val="clear" w:fill="FFFFFF"/>
        </w:rPr>
        <w:t>Conclusion and Interpretation</w:t>
      </w:r>
    </w:p>
    <w:p w14:paraId="510908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rPr>
          <w:rFonts w:hint="default" w:ascii="Times New Roman" w:hAnsi="Times New Roman" w:eastAsia="Tahoma" w:cs="Times New Roman"/>
          <w:i w:val="0"/>
          <w:iCs w:val="0"/>
          <w:caps w:val="0"/>
          <w:color w:val="262626"/>
          <w:spacing w:val="0"/>
          <w:sz w:val="24"/>
          <w:szCs w:val="24"/>
        </w:rPr>
      </w:pPr>
      <w:r>
        <w:rPr>
          <w:rFonts w:hint="default" w:ascii="Times New Roman" w:hAnsi="Times New Roman" w:eastAsia="Tahoma" w:cs="Times New Roman"/>
          <w:i w:val="0"/>
          <w:iCs w:val="0"/>
          <w:caps w:val="0"/>
          <w:color w:val="262626"/>
          <w:spacing w:val="0"/>
          <w:sz w:val="24"/>
          <w:szCs w:val="24"/>
          <w:shd w:val="clear" w:fill="FFFFFF"/>
        </w:rPr>
        <w:t>Based on the statistical analysis:</w:t>
      </w:r>
    </w:p>
    <w:p w14:paraId="03775BD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cs="Times New Roman"/>
          <w:b/>
          <w:bCs/>
          <w:i w:val="0"/>
          <w:iCs w:val="0"/>
          <w:caps w:val="0"/>
          <w:color w:val="262626"/>
          <w:spacing w:val="0"/>
          <w:sz w:val="24"/>
          <w:szCs w:val="24"/>
          <w:shd w:val="clear" w:fill="FFFFFF"/>
        </w:rPr>
      </w:pPr>
    </w:p>
    <w:p w14:paraId="425FE7D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For Hypothesis 1 (NK cells)</w:t>
      </w:r>
      <w:r>
        <w:rPr>
          <w:rFonts w:hint="default" w:ascii="Times New Roman" w:hAnsi="Times New Roman" w:eastAsia="Tahoma" w:cs="Times New Roman"/>
          <w:i w:val="0"/>
          <w:iCs w:val="0"/>
          <w:caps w:val="0"/>
          <w:color w:val="262626"/>
          <w:spacing w:val="0"/>
          <w:sz w:val="24"/>
          <w:szCs w:val="24"/>
          <w:shd w:val="clear" w:fill="FFFFFF"/>
        </w:rPr>
        <w:t xml:space="preserve">: The null hypothesis (H₀) is rejected (p&lt;0.001). We accept the alternative hypothesis that ATINE tea significantly enhances NK cell levels compared to standard balneotherapy alone. The effect is </w:t>
      </w:r>
      <w:r>
        <w:rPr>
          <w:rFonts w:hint="default" w:eastAsia="Tahoma" w:cs="Times New Roman"/>
          <w:i w:val="0"/>
          <w:iCs w:val="0"/>
          <w:caps w:val="0"/>
          <w:color w:val="262626"/>
          <w:spacing w:val="0"/>
          <w:sz w:val="24"/>
          <w:szCs w:val="24"/>
          <w:shd w:val="clear" w:fill="FFFFFF"/>
          <w:lang w:val="pl-PL"/>
        </w:rPr>
        <w:t>substantial,</w:t>
      </w:r>
      <w:r>
        <w:rPr>
          <w:rFonts w:hint="default" w:ascii="Times New Roman" w:hAnsi="Times New Roman" w:eastAsia="Tahoma" w:cs="Times New Roman"/>
          <w:i w:val="0"/>
          <w:iCs w:val="0"/>
          <w:caps w:val="0"/>
          <w:color w:val="262626"/>
          <w:spacing w:val="0"/>
          <w:sz w:val="24"/>
          <w:szCs w:val="24"/>
          <w:shd w:val="clear" w:fill="FFFFFF"/>
        </w:rPr>
        <w:t xml:space="preserve"> with a 90% increase in NK cell levels when ATINE is added to the treatment regimen.</w:t>
      </w:r>
    </w:p>
    <w:p w14:paraId="628D6BD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cs="Times New Roman"/>
          <w:b/>
          <w:bCs/>
          <w:i w:val="0"/>
          <w:iCs w:val="0"/>
          <w:caps w:val="0"/>
          <w:color w:val="262626"/>
          <w:spacing w:val="0"/>
          <w:sz w:val="24"/>
          <w:szCs w:val="24"/>
          <w:shd w:val="clear" w:fill="FFFFFF"/>
        </w:rPr>
      </w:pPr>
    </w:p>
    <w:p w14:paraId="5AA6C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0" w:lineRule="atLeast"/>
        <w:ind w:left="60" w:right="0" w:firstLine="0"/>
        <w:jc w:val="left"/>
        <w:outlineLvl w:val="9"/>
        <w:rPr>
          <w:rFonts w:hint="default" w:ascii="Segoe UI" w:hAnsi="Segoe UI" w:eastAsia="Segoe UI" w:cs="Segoe UI"/>
          <w:i w:val="0"/>
          <w:iCs w:val="0"/>
          <w:caps w:val="0"/>
          <w:color w:val="262626"/>
          <w:spacing w:val="0"/>
          <w:sz w:val="21"/>
          <w:szCs w:val="21"/>
        </w:rPr>
      </w:pPr>
      <w:r>
        <w:rPr>
          <w:rFonts w:hint="default" w:ascii="Segoe UI" w:hAnsi="Segoe UI" w:eastAsia="Segoe UI" w:cs="Segoe UI"/>
          <w:i w:val="0"/>
          <w:iCs w:val="0"/>
          <w:caps w:val="0"/>
          <w:color w:val="262626"/>
          <w:spacing w:val="0"/>
          <w:kern w:val="0"/>
          <w:sz w:val="21"/>
          <w:szCs w:val="21"/>
          <w:shd w:val="clear" w:fill="FFFFFF"/>
          <w:lang w:val="en-US" w:eastAsia="zh-CN" w:bidi="ar"/>
        </w:rPr>
        <w:drawing>
          <wp:inline distT="0" distB="0" distL="114300" distR="114300">
            <wp:extent cx="5759450" cy="3423285"/>
            <wp:effectExtent l="0" t="0" r="12700" b="5715"/>
            <wp:docPr id="9" name="Obraz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6" descr="IMG_256"/>
                    <pic:cNvPicPr>
                      <a:picLocks noChangeAspect="1"/>
                    </pic:cNvPicPr>
                  </pic:nvPicPr>
                  <pic:blipFill>
                    <a:blip r:embed="rId11"/>
                    <a:stretch>
                      <a:fillRect/>
                    </a:stretch>
                  </pic:blipFill>
                  <pic:spPr>
                    <a:xfrm>
                      <a:off x="0" y="0"/>
                      <a:ext cx="5759450" cy="3423285"/>
                    </a:xfrm>
                    <a:prstGeom prst="rect">
                      <a:avLst/>
                    </a:prstGeom>
                    <a:noFill/>
                    <a:ln w="9525">
                      <a:noFill/>
                    </a:ln>
                  </pic:spPr>
                </pic:pic>
              </a:graphicData>
            </a:graphic>
          </wp:inline>
        </w:drawing>
      </w:r>
    </w:p>
    <w:p w14:paraId="3B811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cs="Times New Roman"/>
          <w:b/>
          <w:bCs/>
          <w:i w:val="0"/>
          <w:iCs w:val="0"/>
          <w:caps w:val="0"/>
          <w:color w:val="262626"/>
          <w:spacing w:val="0"/>
          <w:sz w:val="24"/>
          <w:szCs w:val="24"/>
          <w:shd w:val="clear" w:fill="FFFFFF"/>
          <w:lang w:val="pl-PL"/>
        </w:rPr>
      </w:pPr>
      <w:r>
        <w:rPr>
          <w:rFonts w:hint="default" w:ascii="Times New Roman" w:hAnsi="Times New Roman" w:cs="Times New Roman"/>
          <w:b/>
          <w:bCs/>
          <w:i w:val="0"/>
          <w:iCs w:val="0"/>
          <w:caps w:val="0"/>
          <w:color w:val="262626"/>
          <w:spacing w:val="0"/>
          <w:sz w:val="24"/>
          <w:szCs w:val="24"/>
          <w:shd w:val="clear" w:fill="FFFFFF"/>
          <w:lang w:val="pl-PL"/>
        </w:rPr>
        <w:t xml:space="preserve">Figure 9. </w:t>
      </w:r>
      <w:r>
        <w:rPr>
          <w:rFonts w:hint="default" w:ascii="Times New Roman" w:hAnsi="Times New Roman" w:cs="Times New Roman"/>
          <w:b/>
          <w:bCs/>
          <w:i w:val="0"/>
          <w:iCs w:val="0"/>
          <w:caps w:val="0"/>
          <w:color w:val="262626"/>
          <w:spacing w:val="0"/>
          <w:sz w:val="24"/>
          <w:szCs w:val="24"/>
          <w:shd w:val="clear" w:fill="FFFFFF"/>
        </w:rPr>
        <w:t>Visualization Analysis</w:t>
      </w:r>
      <w:r>
        <w:rPr>
          <w:rFonts w:hint="default" w:ascii="Times New Roman" w:hAnsi="Times New Roman" w:cs="Times New Roman"/>
          <w:b/>
          <w:bCs/>
          <w:i w:val="0"/>
          <w:iCs w:val="0"/>
          <w:caps w:val="0"/>
          <w:color w:val="262626"/>
          <w:spacing w:val="0"/>
          <w:sz w:val="24"/>
          <w:szCs w:val="24"/>
          <w:shd w:val="clear" w:fill="FFFFFF"/>
          <w:lang w:val="pl-PL"/>
        </w:rPr>
        <w:t>.</w:t>
      </w:r>
      <w:r>
        <w:rPr>
          <w:rFonts w:hint="default" w:ascii="Times New Roman" w:hAnsi="Times New Roman" w:cs="Times New Roman"/>
          <w:b/>
          <w:bCs/>
          <w:i w:val="0"/>
          <w:iCs w:val="0"/>
          <w:caps w:val="0"/>
          <w:color w:val="262626"/>
          <w:spacing w:val="0"/>
          <w:sz w:val="24"/>
          <w:szCs w:val="24"/>
          <w:shd w:val="clear" w:fill="FFFFFF"/>
        </w:rPr>
        <w:t xml:space="preserve"> Effect of ATINE Tea on NK Cell Levels (Hypothesis 1)</w:t>
      </w:r>
      <w:r>
        <w:rPr>
          <w:rFonts w:hint="default" w:ascii="Times New Roman" w:hAnsi="Times New Roman" w:cs="Times New Roman"/>
          <w:b/>
          <w:bCs/>
          <w:i w:val="0"/>
          <w:iCs w:val="0"/>
          <w:caps w:val="0"/>
          <w:color w:val="262626"/>
          <w:spacing w:val="0"/>
          <w:sz w:val="24"/>
          <w:szCs w:val="24"/>
          <w:shd w:val="clear" w:fill="FFFFFF"/>
          <w:lang w:val="pl-PL"/>
        </w:rPr>
        <w:t xml:space="preserve">. </w:t>
      </w:r>
      <w:r>
        <w:rPr>
          <w:rFonts w:hint="default" w:ascii="Times New Roman" w:hAnsi="Times New Roman"/>
          <w:b/>
          <w:bCs/>
          <w:i w:val="0"/>
          <w:iCs w:val="0"/>
          <w:caps w:val="0"/>
          <w:color w:val="262626"/>
          <w:spacing w:val="0"/>
          <w:sz w:val="24"/>
          <w:szCs w:val="24"/>
          <w:shd w:val="clear" w:fill="FFFFFF"/>
          <w:lang w:val="pl-PL"/>
        </w:rPr>
        <w:t>Developed using Claude 3.7 Sonnet by Anthropic.</w:t>
      </w:r>
    </w:p>
    <w:p w14:paraId="1680AE16">
      <w:pPr>
        <w:outlineLvl w:val="9"/>
        <w:rPr>
          <w:rFonts w:hint="default"/>
        </w:rPr>
      </w:pPr>
    </w:p>
    <w:p w14:paraId="5F6AB00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bCs/>
          <w:i w:val="0"/>
          <w:iCs w:val="0"/>
          <w:caps w:val="0"/>
          <w:color w:val="262626"/>
          <w:spacing w:val="0"/>
          <w:sz w:val="24"/>
          <w:szCs w:val="24"/>
          <w:shd w:val="clear" w:fill="FFFFFF"/>
        </w:rPr>
      </w:pPr>
      <w:r>
        <w:rPr>
          <w:rStyle w:val="22"/>
          <w:rFonts w:hint="default" w:ascii="Times New Roman" w:hAnsi="Times New Roman" w:eastAsia="Tahoma" w:cs="Times New Roman"/>
          <w:b/>
          <w:bCs/>
          <w:i w:val="0"/>
          <w:iCs w:val="0"/>
          <w:caps w:val="0"/>
          <w:color w:val="262626"/>
          <w:spacing w:val="0"/>
          <w:sz w:val="24"/>
          <w:szCs w:val="24"/>
          <w:shd w:val="clear" w:fill="FFFFFF"/>
        </w:rPr>
        <w:t>Statistical Conclusion</w:t>
      </w:r>
      <w:r>
        <w:rPr>
          <w:rStyle w:val="22"/>
          <w:rFonts w:hint="default" w:ascii="Times New Roman" w:hAnsi="Times New Roman" w:eastAsia="Tahoma" w:cs="Times New Roman"/>
          <w:b/>
          <w:bCs/>
          <w:i w:val="0"/>
          <w:iCs w:val="0"/>
          <w:caps w:val="0"/>
          <w:color w:val="262626"/>
          <w:spacing w:val="0"/>
          <w:sz w:val="24"/>
          <w:szCs w:val="24"/>
          <w:shd w:val="clear" w:fill="FFFFFF"/>
          <w:lang w:val="pl-PL"/>
        </w:rPr>
        <w:t xml:space="preserve">. </w:t>
      </w:r>
      <w:r>
        <w:rPr>
          <w:rStyle w:val="22"/>
          <w:rFonts w:hint="default" w:ascii="Times New Roman" w:hAnsi="Times New Roman" w:eastAsia="Tahoma" w:cs="Times New Roman"/>
          <w:b w:val="0"/>
          <w:bCs w:val="0"/>
          <w:i w:val="0"/>
          <w:iCs w:val="0"/>
          <w:caps w:val="0"/>
          <w:color w:val="262626"/>
          <w:spacing w:val="0"/>
          <w:sz w:val="24"/>
          <w:szCs w:val="24"/>
          <w:shd w:val="clear" w:fill="FFFFFF"/>
        </w:rPr>
        <w:t xml:space="preserve">Based on the visualization and statistical analysis, we reject the null hypothesis (H₀) and accept the alternative hypothesis (H₁) that the addition of ATINE tea to standard </w:t>
      </w:r>
      <w:r>
        <w:rPr>
          <w:rStyle w:val="22"/>
          <w:rFonts w:hint="default" w:ascii="Times New Roman" w:hAnsi="Times New Roman" w:eastAsia="Tahoma"/>
          <w:b w:val="0"/>
          <w:bCs w:val="0"/>
          <w:i w:val="0"/>
          <w:iCs w:val="0"/>
          <w:caps w:val="0"/>
          <w:color w:val="262626"/>
          <w:spacing w:val="0"/>
          <w:sz w:val="24"/>
          <w:szCs w:val="24"/>
          <w:shd w:val="clear" w:fill="FFFFFF"/>
        </w:rPr>
        <w:t>balneotherapy significantly increases NK cell levels in patients after radical oncological treatment.</w:t>
      </w:r>
    </w:p>
    <w:p w14:paraId="0556446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val="0"/>
          <w:bCs w:val="0"/>
          <w:i w:val="0"/>
          <w:iCs w:val="0"/>
          <w:caps w:val="0"/>
          <w:color w:val="262626"/>
          <w:spacing w:val="0"/>
          <w:sz w:val="24"/>
          <w:szCs w:val="24"/>
          <w:shd w:val="clear" w:fill="FFFFFF"/>
        </w:rPr>
      </w:pPr>
      <w:r>
        <w:rPr>
          <w:rStyle w:val="22"/>
          <w:rFonts w:hint="default" w:ascii="Times New Roman" w:hAnsi="Times New Roman" w:eastAsia="Tahoma"/>
          <w:b/>
          <w:bCs/>
          <w:i w:val="0"/>
          <w:iCs w:val="0"/>
          <w:caps w:val="0"/>
          <w:color w:val="262626"/>
          <w:spacing w:val="0"/>
          <w:sz w:val="24"/>
          <w:szCs w:val="24"/>
          <w:shd w:val="clear" w:fill="FFFFFF"/>
        </w:rPr>
        <w:t>Clinical Interpretation</w:t>
      </w:r>
      <w:r>
        <w:rPr>
          <w:rStyle w:val="22"/>
          <w:rFonts w:hint="default" w:ascii="Times New Roman" w:hAnsi="Times New Roman" w:eastAsia="Tahoma"/>
          <w:b/>
          <w:bCs/>
          <w:i w:val="0"/>
          <w:iCs w:val="0"/>
          <w:caps w:val="0"/>
          <w:color w:val="262626"/>
          <w:spacing w:val="0"/>
          <w:sz w:val="24"/>
          <w:szCs w:val="24"/>
          <w:shd w:val="clear" w:fill="FFFFFF"/>
          <w:lang w:val="pl-PL"/>
        </w:rPr>
        <w:t xml:space="preserve">. </w:t>
      </w:r>
      <w:r>
        <w:rPr>
          <w:rStyle w:val="22"/>
          <w:rFonts w:hint="default" w:ascii="Times New Roman" w:hAnsi="Times New Roman" w:eastAsia="Tahoma"/>
          <w:b w:val="0"/>
          <w:bCs w:val="0"/>
          <w:i w:val="0"/>
          <w:iCs w:val="0"/>
          <w:caps w:val="0"/>
          <w:color w:val="262626"/>
          <w:spacing w:val="0"/>
          <w:sz w:val="24"/>
          <w:szCs w:val="24"/>
          <w:shd w:val="clear" w:fill="FFFFFF"/>
        </w:rPr>
        <w:t>This finding has important clinical implications as NK (Natural Killer) cells play a crucial role in anti-tumor immune surveillance. The significant enhancement of NK cell levels with ATINE supplementation suggests that this combined therapy may provide better immunological support for patients recovering from cancer treatment, potentially reducing the risk of recurrence through improved immune function.</w:t>
      </w:r>
    </w:p>
    <w:p w14:paraId="77D59AD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outlineLvl w:val="9"/>
        <w:rPr>
          <w:rStyle w:val="22"/>
          <w:rFonts w:hint="default" w:ascii="Times New Roman" w:hAnsi="Times New Roman" w:eastAsia="Tahoma" w:cs="Times New Roman"/>
          <w:b/>
          <w:bCs/>
          <w:i w:val="0"/>
          <w:iCs w:val="0"/>
          <w:caps w:val="0"/>
          <w:color w:val="262626"/>
          <w:spacing w:val="0"/>
          <w:sz w:val="24"/>
          <w:szCs w:val="24"/>
          <w:shd w:val="clear" w:fill="FFFFFF"/>
        </w:rPr>
      </w:pPr>
      <w:r>
        <w:rPr>
          <w:rStyle w:val="22"/>
          <w:rFonts w:hint="default" w:ascii="Times New Roman" w:hAnsi="Times New Roman" w:eastAsia="Tahoma"/>
          <w:b/>
          <w:bCs/>
          <w:i w:val="0"/>
          <w:iCs w:val="0"/>
          <w:caps w:val="0"/>
          <w:color w:val="262626"/>
          <w:spacing w:val="0"/>
          <w:sz w:val="24"/>
          <w:szCs w:val="24"/>
          <w:shd w:val="clear" w:fill="FFFFFF"/>
        </w:rPr>
        <w:t>The visualization effectively demonstrates both the statistical significance and clinical relevance of adding ATINE tea to the standard balneotherapy regimen.</w:t>
      </w:r>
    </w:p>
    <w:p w14:paraId="1480A49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cs="Times New Roman"/>
          <w:b/>
          <w:bCs/>
          <w:i w:val="0"/>
          <w:iCs w:val="0"/>
          <w:caps w:val="0"/>
          <w:color w:val="262626"/>
          <w:spacing w:val="0"/>
          <w:sz w:val="24"/>
          <w:szCs w:val="24"/>
          <w:shd w:val="clear" w:fill="FFFFFF"/>
        </w:rPr>
      </w:pPr>
    </w:p>
    <w:p w14:paraId="0E931A5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cs="Times New Roman"/>
          <w:sz w:val="24"/>
          <w:szCs w:val="24"/>
        </w:rPr>
      </w:pPr>
      <w:r>
        <w:rPr>
          <w:rStyle w:val="22"/>
          <w:rFonts w:hint="default" w:ascii="Times New Roman" w:hAnsi="Times New Roman" w:eastAsia="Tahoma" w:cs="Times New Roman"/>
          <w:b/>
          <w:bCs/>
          <w:i w:val="0"/>
          <w:iCs w:val="0"/>
          <w:caps w:val="0"/>
          <w:color w:val="262626"/>
          <w:spacing w:val="0"/>
          <w:sz w:val="24"/>
          <w:szCs w:val="24"/>
          <w:shd w:val="clear" w:fill="FFFFFF"/>
        </w:rPr>
        <w:t>For Hypothesis 2 (T-killer cells)</w:t>
      </w:r>
      <w:r>
        <w:rPr>
          <w:rFonts w:hint="default" w:ascii="Times New Roman" w:hAnsi="Times New Roman" w:eastAsia="Tahoma" w:cs="Times New Roman"/>
          <w:i w:val="0"/>
          <w:iCs w:val="0"/>
          <w:caps w:val="0"/>
          <w:color w:val="262626"/>
          <w:spacing w:val="0"/>
          <w:sz w:val="24"/>
          <w:szCs w:val="24"/>
          <w:shd w:val="clear" w:fill="FFFFFF"/>
        </w:rPr>
        <w:t>: The null hypothesis (H₀) is rejected (p=0.013). We accept the alternative hypothesis that ATINE tea significantly increases T-killer cell levels. The standard balneotherapy had almost no effect on T-killer levels, while the addition of ATINE produced a significant increase.</w:t>
      </w:r>
    </w:p>
    <w:p w14:paraId="56A72F7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cs="Times New Roman"/>
          <w:b/>
          <w:bCs/>
          <w:i w:val="0"/>
          <w:iCs w:val="0"/>
          <w:caps w:val="0"/>
          <w:color w:val="262626"/>
          <w:spacing w:val="0"/>
          <w:sz w:val="24"/>
          <w:szCs w:val="24"/>
          <w:shd w:val="clear" w:fill="FFFFFF"/>
        </w:rPr>
      </w:pPr>
    </w:p>
    <w:p w14:paraId="12C0106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bCs/>
          <w:i w:val="0"/>
          <w:iCs w:val="0"/>
          <w:caps w:val="0"/>
          <w:color w:val="262626"/>
          <w:spacing w:val="0"/>
          <w:sz w:val="24"/>
          <w:szCs w:val="24"/>
          <w:shd w:val="clear" w:fill="FFFFFF"/>
        </w:rPr>
      </w:pPr>
      <w:r>
        <w:rPr>
          <w:rFonts w:ascii="SimSun" w:hAnsi="SimSun" w:eastAsia="SimSun" w:cs="SimSun"/>
          <w:sz w:val="24"/>
          <w:szCs w:val="24"/>
        </w:rPr>
        <w:drawing>
          <wp:inline distT="0" distB="0" distL="114300" distR="114300">
            <wp:extent cx="5748020" cy="3272790"/>
            <wp:effectExtent l="0" t="0" r="5080" b="3810"/>
            <wp:docPr id="10" name="Obraz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7" descr="IMG_256"/>
                    <pic:cNvPicPr>
                      <a:picLocks noChangeAspect="1"/>
                    </pic:cNvPicPr>
                  </pic:nvPicPr>
                  <pic:blipFill>
                    <a:blip r:embed="rId12"/>
                    <a:stretch>
                      <a:fillRect/>
                    </a:stretch>
                  </pic:blipFill>
                  <pic:spPr>
                    <a:xfrm>
                      <a:off x="0" y="0"/>
                      <a:ext cx="5748020" cy="3272790"/>
                    </a:xfrm>
                    <a:prstGeom prst="rect">
                      <a:avLst/>
                    </a:prstGeom>
                    <a:noFill/>
                    <a:ln w="9525">
                      <a:noFill/>
                    </a:ln>
                  </pic:spPr>
                </pic:pic>
              </a:graphicData>
            </a:graphic>
          </wp:inline>
        </w:drawing>
      </w:r>
    </w:p>
    <w:p w14:paraId="7E18EF6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bCs/>
          <w:i w:val="0"/>
          <w:iCs w:val="0"/>
          <w:caps w:val="0"/>
          <w:color w:val="262626"/>
          <w:spacing w:val="0"/>
          <w:sz w:val="24"/>
          <w:szCs w:val="24"/>
          <w:shd w:val="clear" w:fill="FFFFFF"/>
        </w:rPr>
      </w:pPr>
    </w:p>
    <w:p w14:paraId="56B330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cs="Times New Roman"/>
          <w:b/>
          <w:bCs/>
          <w:i w:val="0"/>
          <w:iCs w:val="0"/>
          <w:caps w:val="0"/>
          <w:color w:val="262626"/>
          <w:spacing w:val="0"/>
          <w:sz w:val="24"/>
          <w:szCs w:val="24"/>
          <w:shd w:val="clear" w:fill="FFFFFF"/>
          <w:lang w:val="pl-PL"/>
        </w:rPr>
      </w:pPr>
      <w:r>
        <w:rPr>
          <w:rFonts w:hint="default" w:ascii="Times New Roman" w:hAnsi="Times New Roman" w:cs="Times New Roman"/>
          <w:b/>
          <w:bCs/>
          <w:i w:val="0"/>
          <w:iCs w:val="0"/>
          <w:caps w:val="0"/>
          <w:color w:val="262626"/>
          <w:spacing w:val="0"/>
          <w:sz w:val="24"/>
          <w:szCs w:val="24"/>
          <w:shd w:val="clear" w:fill="FFFFFF"/>
          <w:lang w:val="pl-PL"/>
        </w:rPr>
        <w:t xml:space="preserve">Figure 10. </w:t>
      </w:r>
      <w:r>
        <w:rPr>
          <w:rFonts w:hint="default" w:ascii="Times New Roman" w:hAnsi="Times New Roman"/>
          <w:b/>
          <w:bCs/>
          <w:i w:val="0"/>
          <w:iCs w:val="0"/>
          <w:caps w:val="0"/>
          <w:color w:val="262626"/>
          <w:spacing w:val="0"/>
          <w:sz w:val="24"/>
          <w:szCs w:val="24"/>
          <w:shd w:val="clear" w:fill="FFFFFF"/>
        </w:rPr>
        <w:t>Visualization Analysis</w:t>
      </w:r>
      <w:r>
        <w:rPr>
          <w:rFonts w:hint="default" w:ascii="Times New Roman" w:hAnsi="Times New Roman"/>
          <w:b/>
          <w:bCs/>
          <w:i w:val="0"/>
          <w:iCs w:val="0"/>
          <w:caps w:val="0"/>
          <w:color w:val="262626"/>
          <w:spacing w:val="0"/>
          <w:sz w:val="24"/>
          <w:szCs w:val="24"/>
          <w:shd w:val="clear" w:fill="FFFFFF"/>
          <w:lang w:val="pl-PL"/>
        </w:rPr>
        <w:t xml:space="preserve">. </w:t>
      </w:r>
      <w:r>
        <w:rPr>
          <w:rFonts w:hint="default" w:ascii="Times New Roman" w:hAnsi="Times New Roman"/>
          <w:b/>
          <w:bCs/>
          <w:i w:val="0"/>
          <w:iCs w:val="0"/>
          <w:caps w:val="0"/>
          <w:color w:val="262626"/>
          <w:spacing w:val="0"/>
          <w:sz w:val="24"/>
          <w:szCs w:val="24"/>
          <w:shd w:val="clear" w:fill="FFFFFF"/>
        </w:rPr>
        <w:t>Effect of ATINE Tea on T-Lymphocyte Levels (Hypothesis 2)</w:t>
      </w:r>
      <w:r>
        <w:rPr>
          <w:rFonts w:hint="default" w:ascii="Times New Roman" w:hAnsi="Times New Roman" w:cs="Times New Roman"/>
          <w:b/>
          <w:bCs/>
          <w:i w:val="0"/>
          <w:iCs w:val="0"/>
          <w:caps w:val="0"/>
          <w:color w:val="262626"/>
          <w:spacing w:val="0"/>
          <w:sz w:val="24"/>
          <w:szCs w:val="24"/>
          <w:shd w:val="clear" w:fill="FFFFFF"/>
          <w:lang w:val="pl-PL"/>
        </w:rPr>
        <w:t xml:space="preserve">. </w:t>
      </w:r>
      <w:r>
        <w:rPr>
          <w:rFonts w:hint="default" w:ascii="Times New Roman" w:hAnsi="Times New Roman"/>
          <w:b/>
          <w:bCs/>
          <w:i w:val="0"/>
          <w:iCs w:val="0"/>
          <w:caps w:val="0"/>
          <w:color w:val="262626"/>
          <w:spacing w:val="0"/>
          <w:sz w:val="24"/>
          <w:szCs w:val="24"/>
          <w:shd w:val="clear" w:fill="FFFFFF"/>
          <w:lang w:val="pl-PL"/>
        </w:rPr>
        <w:t>Developed using Claude 3.7 Sonnet by Anthropic.</w:t>
      </w:r>
    </w:p>
    <w:p w14:paraId="7759A15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bCs/>
          <w:i w:val="0"/>
          <w:iCs w:val="0"/>
          <w:caps w:val="0"/>
          <w:color w:val="262626"/>
          <w:spacing w:val="0"/>
          <w:sz w:val="24"/>
          <w:szCs w:val="24"/>
          <w:shd w:val="clear" w:fill="FFFFFF"/>
        </w:rPr>
      </w:pPr>
    </w:p>
    <w:p w14:paraId="24B6A28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val="0"/>
          <w:bCs w:val="0"/>
          <w:i w:val="0"/>
          <w:iCs w:val="0"/>
          <w:caps w:val="0"/>
          <w:color w:val="262626"/>
          <w:spacing w:val="0"/>
          <w:sz w:val="24"/>
          <w:szCs w:val="24"/>
          <w:shd w:val="clear" w:fill="FFFFFF"/>
        </w:rPr>
      </w:pPr>
      <w:r>
        <w:rPr>
          <w:rStyle w:val="22"/>
          <w:rFonts w:hint="default" w:ascii="Times New Roman" w:hAnsi="Times New Roman" w:eastAsia="Tahoma"/>
          <w:b/>
          <w:bCs/>
          <w:i w:val="0"/>
          <w:iCs w:val="0"/>
          <w:caps w:val="0"/>
          <w:color w:val="262626"/>
          <w:spacing w:val="0"/>
          <w:sz w:val="24"/>
          <w:szCs w:val="24"/>
          <w:shd w:val="clear" w:fill="FFFFFF"/>
        </w:rPr>
        <w:t>Statistical Conclusion</w:t>
      </w:r>
      <w:r>
        <w:rPr>
          <w:rStyle w:val="22"/>
          <w:rFonts w:hint="default" w:ascii="Times New Roman" w:hAnsi="Times New Roman" w:eastAsia="Tahoma"/>
          <w:b/>
          <w:bCs/>
          <w:i w:val="0"/>
          <w:iCs w:val="0"/>
          <w:caps w:val="0"/>
          <w:color w:val="262626"/>
          <w:spacing w:val="0"/>
          <w:sz w:val="24"/>
          <w:szCs w:val="24"/>
          <w:shd w:val="clear" w:fill="FFFFFF"/>
          <w:lang w:val="pl-PL"/>
        </w:rPr>
        <w:t xml:space="preserve">. </w:t>
      </w:r>
      <w:r>
        <w:rPr>
          <w:rStyle w:val="22"/>
          <w:rFonts w:hint="default" w:ascii="Times New Roman" w:hAnsi="Times New Roman" w:eastAsia="Tahoma"/>
          <w:b w:val="0"/>
          <w:bCs w:val="0"/>
          <w:i w:val="0"/>
          <w:iCs w:val="0"/>
          <w:caps w:val="0"/>
          <w:color w:val="262626"/>
          <w:spacing w:val="0"/>
          <w:sz w:val="24"/>
          <w:szCs w:val="24"/>
          <w:shd w:val="clear" w:fill="FFFFFF"/>
        </w:rPr>
        <w:t>Based on the visualization and statistical analysis, we reject the null hypothesis (H₀) and accept the alternative hypothesis (H₁) that adding ATINE tea to standard balneotherapy significantly increases T-lymphocyte levels in patients after radical oncological treatment.</w:t>
      </w:r>
    </w:p>
    <w:p w14:paraId="2738FFC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b w:val="0"/>
          <w:bCs w:val="0"/>
          <w:i w:val="0"/>
          <w:iCs w:val="0"/>
          <w:caps w:val="0"/>
          <w:color w:val="262626"/>
          <w:spacing w:val="0"/>
          <w:sz w:val="24"/>
          <w:szCs w:val="24"/>
          <w:shd w:val="clear" w:fill="FFFFFF"/>
        </w:rPr>
      </w:pPr>
      <w:r>
        <w:rPr>
          <w:rStyle w:val="22"/>
          <w:rFonts w:hint="default" w:ascii="Times New Roman" w:hAnsi="Times New Roman" w:eastAsia="Tahoma"/>
          <w:b/>
          <w:bCs/>
          <w:i w:val="0"/>
          <w:iCs w:val="0"/>
          <w:caps w:val="0"/>
          <w:color w:val="262626"/>
          <w:spacing w:val="0"/>
          <w:sz w:val="24"/>
          <w:szCs w:val="24"/>
          <w:shd w:val="clear" w:fill="FFFFFF"/>
        </w:rPr>
        <w:t>Clinical Interpretation</w:t>
      </w:r>
      <w:r>
        <w:rPr>
          <w:rStyle w:val="22"/>
          <w:rFonts w:hint="default" w:ascii="Times New Roman" w:hAnsi="Times New Roman" w:eastAsia="Tahoma"/>
          <w:b/>
          <w:bCs/>
          <w:i w:val="0"/>
          <w:iCs w:val="0"/>
          <w:caps w:val="0"/>
          <w:color w:val="262626"/>
          <w:spacing w:val="0"/>
          <w:sz w:val="24"/>
          <w:szCs w:val="24"/>
          <w:shd w:val="clear" w:fill="FFFFFF"/>
          <w:lang w:val="pl-PL"/>
        </w:rPr>
        <w:t xml:space="preserve">. </w:t>
      </w:r>
      <w:r>
        <w:rPr>
          <w:rStyle w:val="22"/>
          <w:rFonts w:hint="default" w:ascii="Times New Roman" w:hAnsi="Times New Roman" w:eastAsia="Tahoma"/>
          <w:b w:val="0"/>
          <w:bCs w:val="0"/>
          <w:i w:val="0"/>
          <w:iCs w:val="0"/>
          <w:caps w:val="0"/>
          <w:color w:val="262626"/>
          <w:spacing w:val="0"/>
          <w:sz w:val="24"/>
          <w:szCs w:val="24"/>
          <w:shd w:val="clear" w:fill="FFFFFF"/>
        </w:rPr>
        <w:t>This finding has important clinical implications as T-lymphocytes play a crucial role in the body's immune response, including recognition and elimination of cancer cells. The significant increase in T-lymphocyte levels with ATINE supplementation suggests that this combined therapy may provide better immunological support for patients recovering from oncological treatment, potentially reducing the risk of recurrence by improving immune function.</w:t>
      </w:r>
    </w:p>
    <w:p w14:paraId="35CB418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outlineLvl w:val="9"/>
        <w:rPr>
          <w:rStyle w:val="22"/>
          <w:rFonts w:hint="default" w:ascii="Times New Roman" w:hAnsi="Times New Roman" w:eastAsia="Tahoma" w:cs="Times New Roman"/>
          <w:b w:val="0"/>
          <w:bCs w:val="0"/>
          <w:i w:val="0"/>
          <w:iCs w:val="0"/>
          <w:caps w:val="0"/>
          <w:color w:val="262626"/>
          <w:spacing w:val="0"/>
          <w:sz w:val="24"/>
          <w:szCs w:val="24"/>
          <w:shd w:val="clear" w:fill="FFFFFF"/>
        </w:rPr>
      </w:pPr>
      <w:r>
        <w:rPr>
          <w:rStyle w:val="22"/>
          <w:rFonts w:hint="default" w:ascii="Times New Roman" w:hAnsi="Times New Roman" w:eastAsia="Tahoma"/>
          <w:b w:val="0"/>
          <w:bCs w:val="0"/>
          <w:i w:val="0"/>
          <w:iCs w:val="0"/>
          <w:caps w:val="0"/>
          <w:color w:val="262626"/>
          <w:spacing w:val="0"/>
          <w:sz w:val="24"/>
          <w:szCs w:val="24"/>
          <w:shd w:val="clear" w:fill="FFFFFF"/>
        </w:rPr>
        <w:t>The visualization effectively demonstrates both the statistical significance and clinical importance of adding ATINE tea to the standard balneotherapy regimen in the context of T-lymphocyte stimulation.</w:t>
      </w:r>
    </w:p>
    <w:p w14:paraId="3CDA419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Style w:val="22"/>
          <w:rFonts w:hint="default" w:ascii="Times New Roman" w:hAnsi="Times New Roman" w:eastAsia="Tahoma" w:cs="Times New Roman"/>
          <w:b w:val="0"/>
          <w:bCs w:val="0"/>
          <w:i w:val="0"/>
          <w:iCs w:val="0"/>
          <w:caps w:val="0"/>
          <w:color w:val="262626"/>
          <w:spacing w:val="0"/>
          <w:sz w:val="24"/>
          <w:szCs w:val="24"/>
          <w:shd w:val="clear" w:fill="FFFFFF"/>
        </w:rPr>
      </w:pPr>
    </w:p>
    <w:p w14:paraId="7B4E685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outlineLvl w:val="9"/>
        <w:rPr>
          <w:rFonts w:hint="default" w:ascii="Times New Roman" w:hAnsi="Times New Roman" w:eastAsia="Tahoma" w:cs="Times New Roman"/>
          <w:b w:val="0"/>
          <w:bCs w:val="0"/>
          <w:i w:val="0"/>
          <w:iCs w:val="0"/>
          <w:caps w:val="0"/>
          <w:color w:val="262626"/>
          <w:spacing w:val="0"/>
          <w:sz w:val="24"/>
          <w:szCs w:val="24"/>
          <w:shd w:val="clear" w:fill="FFFFFF"/>
        </w:rPr>
      </w:pPr>
      <w:r>
        <w:rPr>
          <w:rStyle w:val="22"/>
          <w:rFonts w:hint="default" w:ascii="Times New Roman" w:hAnsi="Times New Roman" w:eastAsia="Tahoma"/>
          <w:b w:val="0"/>
          <w:bCs w:val="0"/>
          <w:i w:val="0"/>
          <w:iCs w:val="0"/>
          <w:caps w:val="0"/>
          <w:color w:val="262626"/>
          <w:spacing w:val="0"/>
          <w:sz w:val="24"/>
          <w:szCs w:val="24"/>
          <w:shd w:val="clear" w:fill="FFFFFF"/>
        </w:rPr>
        <w:t>The visualization effectively demonstrates that ATINE supplementation leads to a significant increase in biomarker levels in post-oncological treatment patients compared to standard therapy. The clear difference between groups (102.1% increase) confirms the effectiveness of ATINE as a complement to conventional treatment, which has important clinical implications for improving immune function and regenerative potential in these patients. Statistical analysis (Welch's t-test, p &lt; 0.0001) provides robust evidence supporting the research hypothesis, indicating the potential of ATINE as a valuable, cost-effective addition to rehabilitation protocols after oncological treatment.</w:t>
      </w:r>
    </w:p>
    <w:p w14:paraId="31E76E7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Times New Roman" w:hAnsi="Times New Roman" w:eastAsia="Tahoma" w:cs="Times New Roman"/>
          <w:i w:val="0"/>
          <w:iCs w:val="0"/>
          <w:caps w:val="0"/>
          <w:color w:val="262626"/>
          <w:spacing w:val="0"/>
          <w:sz w:val="24"/>
          <w:szCs w:val="24"/>
          <w:shd w:val="clear" w:fill="FFFFFF"/>
        </w:rPr>
      </w:pPr>
    </w:p>
    <w:p w14:paraId="11CAA43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outlineLvl w:val="9"/>
        <w:rPr>
          <w:rFonts w:hint="default" w:ascii="Times New Roman" w:hAnsi="Times New Roman" w:eastAsia="Tahoma" w:cs="Times New Roman"/>
          <w:i w:val="0"/>
          <w:iCs w:val="0"/>
          <w:caps w:val="0"/>
          <w:color w:val="262626"/>
          <w:spacing w:val="0"/>
          <w:sz w:val="24"/>
          <w:szCs w:val="24"/>
          <w:shd w:val="clear" w:fill="FFFFFF"/>
          <w:lang w:val="pl-PL"/>
        </w:rPr>
      </w:pPr>
      <w:r>
        <w:rPr>
          <w:rFonts w:hint="default" w:ascii="Times New Roman" w:hAnsi="Times New Roman" w:eastAsia="Tahoma" w:cs="Times New Roman"/>
          <w:i w:val="0"/>
          <w:iCs w:val="0"/>
          <w:caps w:val="0"/>
          <w:color w:val="262626"/>
          <w:spacing w:val="0"/>
          <w:sz w:val="24"/>
          <w:szCs w:val="24"/>
          <w:shd w:val="clear" w:fill="FFFFFF"/>
        </w:rPr>
        <w:t>The discriminant analysis confirms these findings, showing that NK cells and T-killers are the most significant parameters differentiating between the treatment groups (highest discriminant function coefficients). The overall model is highly significant (Wilks' Λ=0.547; χ²(12)=60; p&lt;10⁻⁶), indicating that the combination of ATINE with balneotherapy produces a distinct and statistically significant immunological profile compared to standard balneotherapy alone.</w:t>
      </w:r>
    </w:p>
    <w:p w14:paraId="73FA25F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708" w:firstLineChars="0"/>
        <w:jc w:val="both"/>
        <w:textAlignment w:val="auto"/>
        <w:outlineLvl w:val="9"/>
        <w:rPr>
          <w:rFonts w:hint="default" w:ascii="Times New Roman" w:hAnsi="Times New Roman" w:eastAsia="Tahoma" w:cs="Times New Roman"/>
          <w:i w:val="0"/>
          <w:iCs w:val="0"/>
          <w:caps w:val="0"/>
          <w:color w:val="262626"/>
          <w:spacing w:val="0"/>
          <w:sz w:val="24"/>
          <w:szCs w:val="24"/>
        </w:rPr>
      </w:pPr>
      <w:r>
        <w:rPr>
          <w:rFonts w:hint="default" w:ascii="Times New Roman" w:hAnsi="Times New Roman" w:eastAsia="Tahoma" w:cs="Times New Roman"/>
          <w:i w:val="0"/>
          <w:iCs w:val="0"/>
          <w:caps w:val="0"/>
          <w:color w:val="262626"/>
          <w:spacing w:val="0"/>
          <w:sz w:val="24"/>
          <w:szCs w:val="24"/>
          <w:shd w:val="clear" w:fill="FFFFFF"/>
        </w:rPr>
        <w:t>These results support the clinical significance of adding ATINE herbal tea to standard balneotherapy for enhancing immune function in patients after radical oncological treatment, particularly by boosting anti-tumor immune surveillance mechanisms (NK and T-killer cells).</w:t>
      </w:r>
    </w:p>
    <w:p w14:paraId="756260AD">
      <w:pPr>
        <w:spacing w:line="360" w:lineRule="auto"/>
        <w:jc w:val="both"/>
        <w:rPr>
          <w:sz w:val="24"/>
          <w:szCs w:val="24"/>
          <w:lang w:val="en-GB" w:eastAsia="pl-PL"/>
        </w:rPr>
      </w:pPr>
    </w:p>
    <w:p w14:paraId="40D90A29">
      <w:pPr>
        <w:spacing w:line="360" w:lineRule="auto"/>
        <w:jc w:val="both"/>
        <w:outlineLvl w:val="0"/>
        <w:rPr>
          <w:b/>
          <w:bCs/>
          <w:sz w:val="24"/>
          <w:szCs w:val="24"/>
          <w:lang w:val="en-GB" w:eastAsia="pl-PL"/>
        </w:rPr>
      </w:pPr>
      <w:bookmarkStart w:id="12" w:name="_Toc652"/>
      <w:r>
        <w:rPr>
          <w:b/>
          <w:bCs/>
          <w:sz w:val="24"/>
          <w:szCs w:val="24"/>
          <w:lang w:val="en-GB" w:eastAsia="pl-PL"/>
        </w:rPr>
        <w:t>4. Discussion</w:t>
      </w:r>
      <w:bookmarkEnd w:id="12"/>
    </w:p>
    <w:p w14:paraId="055D24D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w:t>
      </w:r>
    </w:p>
    <w:p w14:paraId="6D30EA1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r>
        <w:rPr>
          <w:rFonts w:hint="default"/>
          <w:sz w:val="24"/>
          <w:szCs w:val="24"/>
          <w:lang w:val="en-US" w:eastAsia="pl-PL"/>
        </w:rPr>
        <w:t xml:space="preserve"> </w:t>
      </w:r>
      <w:r>
        <w:rPr>
          <w:sz w:val="24"/>
          <w:szCs w:val="24"/>
          <w:lang w:val="en-GB" w:eastAsia="pl-PL"/>
        </w:rPr>
        <w:t>(</w:t>
      </w:r>
      <w:r>
        <w:rPr>
          <w:rFonts w:hint="default"/>
          <w:sz w:val="24"/>
          <w:szCs w:val="24"/>
          <w:lang w:val="en-US" w:eastAsia="pl-PL"/>
        </w:rPr>
        <w:t>Popovych et al., 2014; 2018; 2025</w:t>
      </w:r>
      <w:r>
        <w:rPr>
          <w:sz w:val="24"/>
          <w:szCs w:val="24"/>
          <w:lang w:val="en-GB" w:eastAsia="pl-PL"/>
        </w:rPr>
        <w:t>).</w:t>
      </w:r>
    </w:p>
    <w:p w14:paraId="193EEA6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r>
        <w:rPr>
          <w:rFonts w:hint="default"/>
          <w:sz w:val="24"/>
          <w:szCs w:val="24"/>
          <w:lang w:val="en-US" w:eastAsia="pl-PL"/>
        </w:rPr>
        <w:t xml:space="preserve"> </w:t>
      </w:r>
      <w:r>
        <w:rPr>
          <w:sz w:val="24"/>
          <w:szCs w:val="24"/>
          <w:lang w:val="en-GB" w:eastAsia="pl-PL"/>
        </w:rPr>
        <w:t>(</w:t>
      </w:r>
      <w:r>
        <w:rPr>
          <w:rFonts w:hint="default"/>
          <w:sz w:val="24"/>
          <w:szCs w:val="24"/>
          <w:lang w:val="en-US" w:eastAsia="pl-PL"/>
        </w:rPr>
        <w:t>Popovych et al., 2011; 2019; 2022</w:t>
      </w:r>
      <w:r>
        <w:rPr>
          <w:sz w:val="24"/>
          <w:szCs w:val="24"/>
          <w:lang w:val="en-GB" w:eastAsia="pl-PL"/>
        </w:rPr>
        <w:t>).</w:t>
      </w:r>
    </w:p>
    <w:p w14:paraId="4D011AAD">
      <w:pPr>
        <w:spacing w:line="360" w:lineRule="auto"/>
        <w:jc w:val="both"/>
        <w:rPr>
          <w:sz w:val="24"/>
          <w:szCs w:val="24"/>
          <w:lang w:val="en-GB" w:eastAsia="pl-PL"/>
        </w:rPr>
      </w:pPr>
    </w:p>
    <w:p w14:paraId="2C12B64B">
      <w:pPr>
        <w:spacing w:line="360" w:lineRule="auto"/>
        <w:jc w:val="both"/>
        <w:outlineLvl w:val="0"/>
        <w:rPr>
          <w:rFonts w:ascii="Times" w:hAnsi="Times" w:cs="Times"/>
          <w:b/>
          <w:bCs/>
          <w:sz w:val="24"/>
          <w:szCs w:val="24"/>
          <w:lang w:val="en-GB" w:eastAsia="pl-PL"/>
        </w:rPr>
      </w:pPr>
      <w:bookmarkStart w:id="13" w:name="_Toc5960"/>
      <w:r>
        <w:rPr>
          <w:rFonts w:ascii="Times" w:hAnsi="Times" w:cs="Times"/>
          <w:b/>
          <w:bCs/>
          <w:sz w:val="24"/>
          <w:szCs w:val="24"/>
          <w:lang w:val="en-GB" w:eastAsia="pl-PL"/>
        </w:rPr>
        <w:t>5. Conclusions</w:t>
      </w:r>
      <w:bookmarkEnd w:id="13"/>
    </w:p>
    <w:p w14:paraId="21D11E3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5B78D13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lang w:val="en-GB" w:eastAsia="pl-PL"/>
        </w:rPr>
      </w:pPr>
      <w:r>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69B6D4AD">
      <w:pPr>
        <w:spacing w:line="360" w:lineRule="auto"/>
        <w:jc w:val="both"/>
        <w:rPr>
          <w:rFonts w:ascii="Times" w:hAnsi="Times" w:cs="Times"/>
          <w:sz w:val="24"/>
          <w:szCs w:val="24"/>
          <w:lang w:val="en-GB" w:eastAsia="pl-PL"/>
        </w:rPr>
      </w:pPr>
    </w:p>
    <w:p w14:paraId="23CC9DC2">
      <w:pPr>
        <w:spacing w:line="360" w:lineRule="auto"/>
        <w:jc w:val="both"/>
        <w:outlineLvl w:val="1"/>
        <w:rPr>
          <w:rFonts w:hint="default" w:ascii="Times" w:hAnsi="Times" w:cs="Times"/>
          <w:b/>
          <w:bCs/>
          <w:sz w:val="24"/>
          <w:szCs w:val="24"/>
          <w:lang w:val="en-US" w:eastAsia="pl-PL"/>
        </w:rPr>
      </w:pPr>
      <w:bookmarkStart w:id="14" w:name="_Toc29338"/>
      <w:r>
        <w:rPr>
          <w:rFonts w:hint="default" w:ascii="Times" w:hAnsi="Times" w:cs="Times"/>
          <w:b/>
          <w:bCs/>
          <w:sz w:val="24"/>
          <w:szCs w:val="24"/>
          <w:lang w:val="en-US" w:eastAsia="pl-PL"/>
        </w:rPr>
        <w:t>Disclossure</w:t>
      </w:r>
      <w:bookmarkEnd w:id="14"/>
    </w:p>
    <w:p w14:paraId="2DF269BF">
      <w:pPr>
        <w:spacing w:line="360" w:lineRule="auto"/>
        <w:jc w:val="both"/>
        <w:outlineLvl w:val="2"/>
        <w:rPr>
          <w:rFonts w:hint="default" w:ascii="Times" w:hAnsi="Times"/>
          <w:b/>
          <w:bCs/>
          <w:sz w:val="24"/>
          <w:szCs w:val="24"/>
          <w:lang w:val="en-GB" w:eastAsia="pl-PL"/>
        </w:rPr>
      </w:pPr>
      <w:bookmarkStart w:id="15" w:name="_Toc25988"/>
      <w:r>
        <w:rPr>
          <w:rFonts w:hint="default" w:ascii="Times" w:hAnsi="Times"/>
          <w:b/>
          <w:bCs/>
          <w:sz w:val="24"/>
          <w:szCs w:val="24"/>
          <w:lang w:val="en-GB" w:eastAsia="pl-PL"/>
        </w:rPr>
        <w:t>Supplementary Materials</w:t>
      </w:r>
      <w:bookmarkEnd w:id="15"/>
    </w:p>
    <w:p w14:paraId="2D94D5C0">
      <w:pPr>
        <w:spacing w:line="360" w:lineRule="auto"/>
        <w:jc w:val="both"/>
        <w:outlineLvl w:val="2"/>
        <w:rPr>
          <w:rFonts w:hint="default" w:ascii="Times" w:hAnsi="Times"/>
          <w:b/>
          <w:bCs/>
          <w:sz w:val="24"/>
          <w:szCs w:val="24"/>
          <w:lang w:val="en-GB" w:eastAsia="pl-PL"/>
        </w:rPr>
      </w:pPr>
      <w:bookmarkStart w:id="16" w:name="_Toc18903"/>
      <w:r>
        <w:rPr>
          <w:rFonts w:hint="default" w:ascii="Times" w:hAnsi="Times"/>
          <w:b/>
          <w:bCs/>
          <w:sz w:val="24"/>
          <w:szCs w:val="24"/>
          <w:lang w:val="en-GB" w:eastAsia="pl-PL"/>
        </w:rPr>
        <w:t>Author Contributions</w:t>
      </w:r>
      <w:bookmarkEnd w:id="16"/>
    </w:p>
    <w:p w14:paraId="7D282B21">
      <w:pPr>
        <w:spacing w:line="360" w:lineRule="auto"/>
        <w:jc w:val="both"/>
        <w:outlineLvl w:val="2"/>
        <w:rPr>
          <w:rFonts w:ascii="Times" w:hAnsi="Times" w:cs="Times"/>
          <w:b/>
          <w:bCs/>
          <w:sz w:val="24"/>
          <w:szCs w:val="24"/>
          <w:lang w:val="en-GB" w:eastAsia="pl-PL"/>
        </w:rPr>
      </w:pPr>
      <w:bookmarkStart w:id="17" w:name="_Toc17049"/>
      <w:r>
        <w:rPr>
          <w:rFonts w:hint="default" w:ascii="Times" w:hAnsi="Times"/>
          <w:b/>
          <w:bCs/>
          <w:sz w:val="24"/>
          <w:szCs w:val="24"/>
          <w:lang w:val="en-GB" w:eastAsia="pl-PL"/>
        </w:rPr>
        <w:t>Funding</w:t>
      </w:r>
      <w:bookmarkEnd w:id="17"/>
    </w:p>
    <w:p w14:paraId="4673926A">
      <w:pPr>
        <w:spacing w:line="360" w:lineRule="auto"/>
        <w:jc w:val="both"/>
        <w:outlineLvl w:val="2"/>
        <w:rPr>
          <w:rFonts w:ascii="Times" w:hAnsi="Times" w:cs="Times"/>
          <w:b/>
          <w:bCs/>
          <w:sz w:val="24"/>
          <w:szCs w:val="24"/>
          <w:lang w:val="en-GB" w:eastAsia="pl-PL"/>
        </w:rPr>
      </w:pPr>
      <w:bookmarkStart w:id="18" w:name="_Toc4184"/>
      <w:r>
        <w:rPr>
          <w:rFonts w:hint="default" w:ascii="Times" w:hAnsi="Times"/>
          <w:b/>
          <w:bCs/>
          <w:sz w:val="24"/>
          <w:szCs w:val="24"/>
          <w:lang w:val="en-GB" w:eastAsia="pl-PL"/>
        </w:rPr>
        <w:t>Institutional Review Board Statement</w:t>
      </w:r>
      <w:bookmarkEnd w:id="18"/>
    </w:p>
    <w:p w14:paraId="3EC29728">
      <w:pPr>
        <w:spacing w:line="360" w:lineRule="auto"/>
        <w:jc w:val="both"/>
        <w:outlineLvl w:val="2"/>
        <w:rPr>
          <w:rFonts w:ascii="Times" w:hAnsi="Times" w:cs="Times"/>
          <w:b/>
          <w:bCs/>
          <w:sz w:val="24"/>
          <w:szCs w:val="24"/>
          <w:lang w:val="en-GB" w:eastAsia="pl-PL"/>
        </w:rPr>
      </w:pPr>
      <w:bookmarkStart w:id="19" w:name="_Toc17270"/>
      <w:r>
        <w:rPr>
          <w:rFonts w:hint="default" w:ascii="Times" w:hAnsi="Times"/>
          <w:b/>
          <w:bCs/>
          <w:sz w:val="24"/>
          <w:szCs w:val="24"/>
          <w:lang w:val="en-GB" w:eastAsia="pl-PL"/>
        </w:rPr>
        <w:t>Informed Consent Statement</w:t>
      </w:r>
      <w:bookmarkEnd w:id="19"/>
    </w:p>
    <w:p w14:paraId="7046CB81">
      <w:pPr>
        <w:spacing w:line="360" w:lineRule="auto"/>
        <w:jc w:val="both"/>
        <w:outlineLvl w:val="2"/>
        <w:rPr>
          <w:rFonts w:hint="default" w:ascii="Times" w:hAnsi="Times"/>
          <w:b/>
          <w:bCs/>
          <w:sz w:val="24"/>
          <w:szCs w:val="24"/>
          <w:lang w:val="en-GB" w:eastAsia="pl-PL"/>
        </w:rPr>
      </w:pPr>
      <w:bookmarkStart w:id="20" w:name="_Toc18358"/>
      <w:r>
        <w:rPr>
          <w:rFonts w:hint="default" w:ascii="Times" w:hAnsi="Times"/>
          <w:b/>
          <w:bCs/>
          <w:sz w:val="24"/>
          <w:szCs w:val="24"/>
          <w:lang w:val="en-GB" w:eastAsia="pl-PL"/>
        </w:rPr>
        <w:t>Data Availability Statement</w:t>
      </w:r>
      <w:bookmarkEnd w:id="20"/>
    </w:p>
    <w:p w14:paraId="51D19362">
      <w:pPr>
        <w:spacing w:line="360" w:lineRule="auto"/>
        <w:jc w:val="both"/>
        <w:outlineLvl w:val="2"/>
        <w:rPr>
          <w:rFonts w:ascii="Times" w:hAnsi="Times" w:cs="Times"/>
          <w:b/>
          <w:bCs/>
          <w:sz w:val="24"/>
          <w:szCs w:val="24"/>
          <w:lang w:val="en-US" w:eastAsia="pl-PL"/>
        </w:rPr>
      </w:pPr>
      <w:bookmarkStart w:id="21" w:name="_Toc18970"/>
      <w:r>
        <w:rPr>
          <w:rFonts w:ascii="Times" w:hAnsi="Times" w:cs="Times"/>
          <w:b/>
          <w:bCs/>
          <w:sz w:val="24"/>
          <w:szCs w:val="24"/>
          <w:lang w:val="en-US" w:eastAsia="pl-PL"/>
        </w:rPr>
        <w:t>Acknowledgements</w:t>
      </w:r>
      <w:bookmarkEnd w:id="21"/>
      <w:r>
        <w:rPr>
          <w:rFonts w:ascii="Times" w:hAnsi="Times" w:cs="Times"/>
          <w:b/>
          <w:bCs/>
          <w:sz w:val="24"/>
          <w:szCs w:val="24"/>
          <w:lang w:val="en-US" w:eastAsia="pl-PL"/>
        </w:rPr>
        <w:t xml:space="preserve"> </w:t>
      </w:r>
    </w:p>
    <w:p w14:paraId="0B25EFEC">
      <w:pPr>
        <w:spacing w:line="360" w:lineRule="auto"/>
        <w:jc w:val="both"/>
        <w:outlineLvl w:val="2"/>
        <w:rPr>
          <w:rFonts w:ascii="Times" w:hAnsi="Times" w:cs="Times"/>
          <w:b/>
          <w:bCs/>
          <w:sz w:val="24"/>
          <w:szCs w:val="24"/>
          <w:lang w:val="en-GB" w:eastAsia="pl-PL"/>
        </w:rPr>
      </w:pPr>
      <w:bookmarkStart w:id="22" w:name="_Toc7601"/>
      <w:r>
        <w:rPr>
          <w:rFonts w:hint="default" w:ascii="Times" w:hAnsi="Times"/>
          <w:b/>
          <w:bCs/>
          <w:sz w:val="24"/>
          <w:szCs w:val="24"/>
          <w:lang w:val="en-GB" w:eastAsia="pl-PL"/>
        </w:rPr>
        <w:t>Conflicts of Interest</w:t>
      </w:r>
      <w:bookmarkEnd w:id="22"/>
    </w:p>
    <w:p w14:paraId="5FAB0C71">
      <w:pPr>
        <w:spacing w:line="360" w:lineRule="auto"/>
        <w:jc w:val="both"/>
        <w:rPr>
          <w:rFonts w:ascii="Times" w:hAnsi="Times" w:cs="Times"/>
          <w:sz w:val="24"/>
          <w:szCs w:val="24"/>
          <w:lang w:val="en-US" w:eastAsia="pl-PL"/>
        </w:rPr>
      </w:pPr>
    </w:p>
    <w:p w14:paraId="21A1FE50">
      <w:pPr>
        <w:pStyle w:val="9"/>
        <w:outlineLvl w:val="0"/>
        <w:rPr>
          <w:rFonts w:hint="default"/>
          <w:sz w:val="24"/>
          <w:szCs w:val="24"/>
          <w:lang w:val="pl-PL"/>
        </w:rPr>
      </w:pPr>
      <w:bookmarkStart w:id="23" w:name="_Toc14868"/>
      <w:r>
        <w:rPr>
          <w:b/>
          <w:bCs/>
          <w:sz w:val="24"/>
          <w:szCs w:val="24"/>
          <w:lang w:val="en-GB" w:eastAsia="pl-PL"/>
        </w:rPr>
        <w:t>References</w:t>
      </w:r>
      <w:r>
        <w:rPr>
          <w:rFonts w:hint="default"/>
          <w:b/>
          <w:bCs/>
          <w:sz w:val="24"/>
          <w:szCs w:val="24"/>
          <w:lang w:val="en-US" w:eastAsia="pl-PL"/>
        </w:rPr>
        <w:t xml:space="preserve"> </w:t>
      </w:r>
      <w:r>
        <w:rPr>
          <w:rFonts w:hint="default"/>
          <w:b/>
          <w:bCs/>
          <w:color w:val="0000FF"/>
          <w:sz w:val="24"/>
          <w:szCs w:val="24"/>
          <w:lang w:val="en-US" w:eastAsia="pl-PL"/>
        </w:rPr>
        <w:t>(</w:t>
      </w:r>
      <w:r>
        <w:rPr>
          <w:color w:val="0000FF"/>
          <w:sz w:val="24"/>
          <w:szCs w:val="24"/>
          <w:lang w:val="en-US"/>
        </w:rPr>
        <w:t>link</w:t>
      </w:r>
      <w:r>
        <w:rPr>
          <w:rFonts w:hint="default"/>
          <w:color w:val="0000FF"/>
          <w:sz w:val="24"/>
          <w:szCs w:val="24"/>
          <w:lang w:val="pl-PL"/>
        </w:rPr>
        <w:t xml:space="preserve"> p</w:t>
      </w:r>
      <w:r>
        <w:rPr>
          <w:color w:val="0000FF"/>
          <w:sz w:val="24"/>
          <w:szCs w:val="24"/>
          <w:lang w:val="en-US"/>
        </w:rPr>
        <w:t xml:space="preserve">ages </w:t>
      </w:r>
      <w:r>
        <w:rPr>
          <w:rFonts w:hint="default"/>
          <w:color w:val="0000FF"/>
          <w:sz w:val="24"/>
          <w:szCs w:val="24"/>
          <w:lang w:val="pl-PL"/>
        </w:rPr>
        <w:t xml:space="preserve">and DOI </w:t>
      </w:r>
      <w:r>
        <w:rPr>
          <w:color w:val="0000FF"/>
          <w:sz w:val="24"/>
          <w:szCs w:val="24"/>
          <w:lang w:val="en-US"/>
        </w:rPr>
        <w:t xml:space="preserve">must be </w:t>
      </w:r>
      <w:r>
        <w:rPr>
          <w:color w:val="0000FF"/>
          <w:sz w:val="24"/>
          <w:szCs w:val="24"/>
          <w:lang w:val="pl-PL"/>
        </w:rPr>
        <w:t>active; addresses</w:t>
      </w:r>
      <w:r>
        <w:rPr>
          <w:rFonts w:hint="default"/>
          <w:color w:val="0000FF"/>
          <w:sz w:val="24"/>
          <w:szCs w:val="24"/>
          <w:lang w:val="pl-PL"/>
        </w:rPr>
        <w:t xml:space="preserve"> must be complete).</w:t>
      </w:r>
      <w:bookmarkEnd w:id="23"/>
    </w:p>
    <w:p w14:paraId="3D0E580C">
      <w:pPr>
        <w:spacing w:line="360" w:lineRule="auto"/>
        <w:rPr>
          <w:rFonts w:hint="default"/>
          <w:b/>
          <w:bCs/>
          <w:sz w:val="24"/>
          <w:szCs w:val="24"/>
          <w:lang w:val="en-US" w:eastAsia="pl-PL"/>
        </w:rPr>
      </w:pPr>
    </w:p>
    <w:p w14:paraId="4D2630F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Alyeksyeyev, О. І., Popovych, I. L., Panasyuk, Y. M., Barylyak, L. G., Saranca, S. N., &amp; Shumakov, M. F. (1996). </w:t>
      </w:r>
      <w:r>
        <w:rPr>
          <w:rStyle w:val="11"/>
          <w:rFonts w:hint="default" w:ascii="Times New Roman" w:hAnsi="Times New Roman" w:eastAsia="Tahoma" w:cs="Times New Roman"/>
          <w:i w:val="0"/>
          <w:iCs w:val="0"/>
          <w:caps w:val="0"/>
          <w:color w:val="262626"/>
          <w:spacing w:val="0"/>
          <w:sz w:val="24"/>
          <w:szCs w:val="24"/>
          <w:shd w:val="clear" w:fill="FFFFFF"/>
        </w:rPr>
        <w:t>Adaptogens and Radiation</w:t>
      </w:r>
      <w:r>
        <w:rPr>
          <w:rFonts w:hint="default" w:ascii="Times New Roman" w:hAnsi="Times New Roman" w:eastAsia="Tahoma" w:cs="Times New Roman"/>
          <w:i w:val="0"/>
          <w:iCs w:val="0"/>
          <w:caps w:val="0"/>
          <w:color w:val="262626"/>
          <w:spacing w:val="0"/>
          <w:sz w:val="24"/>
          <w:szCs w:val="24"/>
          <w:shd w:val="clear" w:fill="FFFFFF"/>
        </w:rPr>
        <w:t xml:space="preserve"> [in Ukrainian]. Kyїv: Naukova dumka.</w:t>
      </w:r>
    </w:p>
    <w:p w14:paraId="34349D4A">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Andric, S. A., Kostic, T. S., Stojilkovic, S. S., &amp; Kovacevic, R. Z. (2000). Inhibition of rat testicular androgenesis by a polychlorinated biphenyl mixture aroclor 1248. </w:t>
      </w:r>
      <w:r>
        <w:rPr>
          <w:rStyle w:val="11"/>
          <w:rFonts w:hint="default" w:ascii="Times New Roman" w:hAnsi="Times New Roman" w:eastAsia="Tahoma" w:cs="Times New Roman"/>
          <w:i w:val="0"/>
          <w:iCs w:val="0"/>
          <w:caps w:val="0"/>
          <w:color w:val="262626"/>
          <w:spacing w:val="0"/>
          <w:sz w:val="24"/>
          <w:szCs w:val="24"/>
          <w:shd w:val="clear" w:fill="FFFFFF"/>
        </w:rPr>
        <w:t>Biology of Reproduction, 62</w:t>
      </w:r>
      <w:r>
        <w:rPr>
          <w:rFonts w:hint="default" w:ascii="Times New Roman" w:hAnsi="Times New Roman" w:eastAsia="Tahoma" w:cs="Times New Roman"/>
          <w:i w:val="0"/>
          <w:iCs w:val="0"/>
          <w:caps w:val="0"/>
          <w:color w:val="262626"/>
          <w:spacing w:val="0"/>
          <w:sz w:val="24"/>
          <w:szCs w:val="24"/>
          <w:shd w:val="clear" w:fill="FFFFFF"/>
        </w:rPr>
        <w:t xml:space="preserve">(6), 1882-1888.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"https://doi.org/10.1095/biolreprod62.6.1882"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https://doi.org/10.1095/biolreprod62.6.1882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DD33B7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Asea, A., Kaur, P., Panossian, A., &amp; Wikman, K. G. (2013). Evaluation of molecular chaperons Hsp72 and neuropeptide Y as characteristic markers of adaptogenic activity of plant extracts. </w:t>
      </w:r>
      <w:r>
        <w:rPr>
          <w:rStyle w:val="11"/>
          <w:rFonts w:hint="default" w:ascii="Times New Roman" w:hAnsi="Times New Roman" w:eastAsia="Tahoma" w:cs="Times New Roman"/>
          <w:i w:val="0"/>
          <w:iCs w:val="0"/>
          <w:caps w:val="0"/>
          <w:color w:val="262626"/>
          <w:spacing w:val="0"/>
          <w:sz w:val="24"/>
          <w:szCs w:val="24"/>
          <w:shd w:val="clear" w:fill="FFFFFF"/>
        </w:rPr>
        <w:t>Phytomedicine, 20</w:t>
      </w:r>
      <w:r>
        <w:rPr>
          <w:rFonts w:hint="default" w:ascii="Times New Roman" w:hAnsi="Times New Roman" w:eastAsia="Tahoma" w:cs="Times New Roman"/>
          <w:i w:val="0"/>
          <w:iCs w:val="0"/>
          <w:caps w:val="0"/>
          <w:color w:val="262626"/>
          <w:spacing w:val="0"/>
          <w:sz w:val="24"/>
          <w:szCs w:val="24"/>
          <w:shd w:val="clear" w:fill="FFFFFF"/>
        </w:rPr>
        <w:t xml:space="preserve">(14), 1323-1329.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"https://doi.org/10.1016/j.phymed.2013.07.001"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https://doi.org/10.1016/j.phymed.2013.07.001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F683F73">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Avilla, M. N., Malecki, K. M. C., Hahn, M. E., Wilson, R. H., &amp; Bradfield, C. A. (2020). The Ah Receptor: Adaptive metabolism, ligand diversity, and the xenokine model. </w:t>
      </w:r>
      <w:r>
        <w:rPr>
          <w:rStyle w:val="11"/>
          <w:rFonts w:hint="default" w:ascii="Times New Roman" w:hAnsi="Times New Roman" w:eastAsia="Tahoma" w:cs="Times New Roman"/>
          <w:i w:val="0"/>
          <w:iCs w:val="0"/>
          <w:caps w:val="0"/>
          <w:color w:val="262626"/>
          <w:spacing w:val="0"/>
          <w:sz w:val="24"/>
          <w:szCs w:val="24"/>
          <w:shd w:val="clear" w:fill="FFFFFF"/>
        </w:rPr>
        <w:t>Chemical Research in Toxicology, 33</w:t>
      </w:r>
      <w:r>
        <w:rPr>
          <w:rFonts w:hint="default" w:ascii="Times New Roman" w:hAnsi="Times New Roman" w:eastAsia="Tahoma" w:cs="Times New Roman"/>
          <w:i w:val="0"/>
          <w:iCs w:val="0"/>
          <w:caps w:val="0"/>
          <w:color w:val="262626"/>
          <w:spacing w:val="0"/>
          <w:sz w:val="24"/>
          <w:szCs w:val="24"/>
          <w:shd w:val="clear" w:fill="FFFFFF"/>
        </w:rPr>
        <w:t xml:space="preserve">(4), 860-879.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"https://doi.org/10.1021/acs.chemrestox.0c00072"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https://doi.org/10.1021/acs.chemrestox.0c00072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3FAC4E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Bungsu, I., Kifli, N., Ahmad, S. R., Ghani, H., &amp; Cunningham, A. C. (2021). Herbal plants: The role of AhR in mediating immunomodulation. </w:t>
      </w:r>
      <w:r>
        <w:rPr>
          <w:rStyle w:val="11"/>
          <w:rFonts w:hint="default" w:ascii="Times New Roman" w:hAnsi="Times New Roman" w:eastAsia="Tahoma" w:cs="Times New Roman"/>
          <w:i w:val="0"/>
          <w:iCs w:val="0"/>
          <w:caps w:val="0"/>
          <w:color w:val="262626"/>
          <w:spacing w:val="0"/>
          <w:sz w:val="24"/>
          <w:szCs w:val="24"/>
          <w:shd w:val="clear" w:fill="FFFFFF"/>
        </w:rPr>
        <w:t>Frontiers in Immunology, 12</w:t>
      </w:r>
      <w:r>
        <w:rPr>
          <w:rFonts w:hint="default" w:ascii="Times New Roman" w:hAnsi="Times New Roman" w:eastAsia="Tahoma" w:cs="Times New Roman"/>
          <w:i w:val="0"/>
          <w:iCs w:val="0"/>
          <w:caps w:val="0"/>
          <w:color w:val="262626"/>
          <w:spacing w:val="0"/>
          <w:sz w:val="24"/>
          <w:szCs w:val="24"/>
          <w:shd w:val="clear" w:fill="FFFFFF"/>
        </w:rPr>
        <w:t xml:space="preserve">, 697663.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"https://doi.org/10.3389/fimmu.2021.697663"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https://doi.org/10.3389/fimmu.2021.697663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4E7B4F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Busbee, P. B., Rouse, M., Nagarkatti, M., &amp; Nagarkatti, P. S. (2013). Use of natural AhR ligands as potential therapeutic modalities against inflammatory disorders. </w:t>
      </w:r>
      <w:r>
        <w:rPr>
          <w:rStyle w:val="11"/>
          <w:rFonts w:hint="default" w:ascii="Times New Roman" w:hAnsi="Times New Roman" w:eastAsia="Tahoma" w:cs="Times New Roman"/>
          <w:i w:val="0"/>
          <w:iCs w:val="0"/>
          <w:caps w:val="0"/>
          <w:color w:val="262626"/>
          <w:spacing w:val="0"/>
          <w:sz w:val="24"/>
          <w:szCs w:val="24"/>
          <w:shd w:val="clear" w:fill="FFFFFF"/>
        </w:rPr>
        <w:t>Nutrition Reviews, 71</w:t>
      </w:r>
      <w:r>
        <w:rPr>
          <w:rFonts w:hint="default" w:ascii="Times New Roman" w:hAnsi="Times New Roman" w:eastAsia="Tahoma" w:cs="Times New Roman"/>
          <w:i w:val="0"/>
          <w:iCs w:val="0"/>
          <w:caps w:val="0"/>
          <w:color w:val="262626"/>
          <w:spacing w:val="0"/>
          <w:sz w:val="24"/>
          <w:szCs w:val="24"/>
          <w:shd w:val="clear" w:fill="FFFFFF"/>
        </w:rPr>
        <w:t xml:space="preserve">(6), 353-369.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"https://doi.org/10.1111/nure.12024"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https://doi.org/10.1111/nure.12024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188614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Chebanenko, O. I., Flyunt, I. S., Popovych, I. L., Balanovskyi, V. P., &amp; Lakhin, P. V. (1997). </w:t>
      </w:r>
      <w:r>
        <w:rPr>
          <w:rStyle w:val="11"/>
          <w:rFonts w:hint="default" w:ascii="Times New Roman" w:hAnsi="Times New Roman" w:eastAsia="Tahoma" w:cs="Times New Roman"/>
          <w:i w:val="0"/>
          <w:iCs w:val="0"/>
          <w:caps w:val="0"/>
          <w:color w:val="262626"/>
          <w:spacing w:val="0"/>
          <w:sz w:val="24"/>
          <w:szCs w:val="24"/>
          <w:shd w:val="clear" w:fill="FFFFFF"/>
        </w:rPr>
        <w:t>Water Naftussya and Water-salt Exchange</w:t>
      </w:r>
      <w:r>
        <w:rPr>
          <w:rFonts w:hint="default" w:ascii="Times New Roman" w:hAnsi="Times New Roman" w:eastAsia="Tahoma" w:cs="Times New Roman"/>
          <w:i w:val="0"/>
          <w:iCs w:val="0"/>
          <w:caps w:val="0"/>
          <w:color w:val="262626"/>
          <w:spacing w:val="0"/>
          <w:sz w:val="24"/>
          <w:szCs w:val="24"/>
          <w:shd w:val="clear" w:fill="FFFFFF"/>
        </w:rPr>
        <w:t xml:space="preserve"> [in Ukrainian]. Kyїv: Naukova dumka.</w:t>
      </w:r>
      <w:r>
        <w:rPr>
          <w:rFonts w:hint="default" w:ascii="Times New Roman" w:hAnsi="Times New Roman" w:eastAsia="Tahoma" w:cs="Times New Roman"/>
          <w:i w:val="0"/>
          <w:iCs w:val="0"/>
          <w:caps w:val="0"/>
          <w:color w:val="262626"/>
          <w:spacing w:val="0"/>
          <w:sz w:val="24"/>
          <w:szCs w:val="24"/>
          <w:shd w:val="clear" w:fill="FFFFFF"/>
          <w:lang w:val="pl-PL"/>
        </w:rPr>
        <w:t xml:space="preserve"> 141.</w:t>
      </w:r>
    </w:p>
    <w:p w14:paraId="334666C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Chebanenko, O. I., Popovych, I. L., Bulba, A. Y., Ruzhylo, S. V., &amp; Perchenko, V. P. (1997). </w:t>
      </w:r>
      <w:r>
        <w:rPr>
          <w:rStyle w:val="11"/>
          <w:rFonts w:hint="default" w:ascii="Times New Roman" w:hAnsi="Times New Roman" w:eastAsia="Tahoma" w:cs="Times New Roman"/>
          <w:i w:val="0"/>
          <w:iCs w:val="0"/>
          <w:caps w:val="0"/>
          <w:color w:val="262626"/>
          <w:spacing w:val="0"/>
          <w:sz w:val="24"/>
          <w:szCs w:val="24"/>
          <w:shd w:val="clear" w:fill="FFFFFF"/>
        </w:rPr>
        <w:t>Choleretic effect of Naftussya water</w:t>
      </w:r>
      <w:r>
        <w:rPr>
          <w:rFonts w:hint="default" w:ascii="Times New Roman" w:hAnsi="Times New Roman" w:eastAsia="Tahoma" w:cs="Times New Roman"/>
          <w:i w:val="0"/>
          <w:iCs w:val="0"/>
          <w:caps w:val="0"/>
          <w:color w:val="262626"/>
          <w:spacing w:val="0"/>
          <w:sz w:val="24"/>
          <w:szCs w:val="24"/>
          <w:shd w:val="clear" w:fill="FFFFFF"/>
        </w:rPr>
        <w:t xml:space="preserve"> [in Ukrainian]. Kyїv: Komp'yuterpress.</w:t>
      </w:r>
      <w:r>
        <w:rPr>
          <w:rFonts w:hint="default" w:ascii="Times New Roman" w:hAnsi="Times New Roman" w:eastAsia="Tahoma" w:cs="Times New Roman"/>
          <w:i w:val="0"/>
          <w:iCs w:val="0"/>
          <w:caps w:val="0"/>
          <w:color w:val="262626"/>
          <w:spacing w:val="0"/>
          <w:sz w:val="24"/>
          <w:szCs w:val="24"/>
          <w:shd w:val="clear" w:fill="FFFFFF"/>
          <w:lang w:val="pl-PL"/>
        </w:rPr>
        <w:t xml:space="preserve"> 103.</w:t>
      </w:r>
    </w:p>
    <w:p w14:paraId="3FB05DE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Chen, W. C., Chang, L. H., Huang, S. S., Huang, Y. J., Chih, C. L., Kuo, H. C., Lee, Y. H., &amp; Lee, I. H. (2019). Aryl hydrocarbon receptor modulates stroke-induced astrogliosis and neurogenesis in the adult mouse brain. </w:t>
      </w:r>
      <w:r>
        <w:rPr>
          <w:rStyle w:val="11"/>
          <w:rFonts w:hint="default" w:ascii="Times New Roman" w:hAnsi="Times New Roman" w:eastAsia="Tahoma" w:cs="Times New Roman"/>
          <w:i w:val="0"/>
          <w:iCs w:val="0"/>
          <w:caps w:val="0"/>
          <w:color w:val="262626"/>
          <w:spacing w:val="0"/>
          <w:sz w:val="24"/>
          <w:szCs w:val="24"/>
          <w:shd w:val="clear" w:fill="FFFFFF"/>
        </w:rPr>
        <w:t>Journal of Neuroinflammation, 16</w:t>
      </w:r>
      <w:r>
        <w:rPr>
          <w:rFonts w:hint="default" w:ascii="Times New Roman" w:hAnsi="Times New Roman" w:eastAsia="Tahoma" w:cs="Times New Roman"/>
          <w:i w:val="0"/>
          <w:iCs w:val="0"/>
          <w:caps w:val="0"/>
          <w:color w:val="262626"/>
          <w:spacing w:val="0"/>
          <w:sz w:val="24"/>
          <w:szCs w:val="24"/>
          <w:shd w:val="clear" w:fill="FFFFFF"/>
        </w:rPr>
        <w:t xml:space="preserve">, 187.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"https://doi.org/10.1186/s12974-019-1572-7"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https://doi.org/10.1186/s12974-019-1572-7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9EEBE9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Chen, Y., Xu, L., Xie, H. Q. H., Xu, T., Fu, H., Zhang, S., Ho, K., &amp; Zhao, B. (2017). Identification of differentially expressed genes response to TCDD in rat brain after long-term low-dose exposure. </w:t>
      </w:r>
      <w:r>
        <w:rPr>
          <w:rStyle w:val="11"/>
          <w:rFonts w:hint="default" w:ascii="Times New Roman" w:hAnsi="Times New Roman" w:eastAsia="Tahoma" w:cs="Times New Roman"/>
          <w:i w:val="0"/>
          <w:iCs w:val="0"/>
          <w:caps w:val="0"/>
          <w:color w:val="262626"/>
          <w:spacing w:val="0"/>
          <w:sz w:val="24"/>
          <w:szCs w:val="24"/>
          <w:shd w:val="clear" w:fill="FFFFFF"/>
        </w:rPr>
        <w:t>Journal of Environmental Sciences, 62</w:t>
      </w:r>
      <w:r>
        <w:rPr>
          <w:rFonts w:hint="default" w:ascii="Times New Roman" w:hAnsi="Times New Roman" w:eastAsia="Tahoma" w:cs="Times New Roman"/>
          <w:i w:val="0"/>
          <w:iCs w:val="0"/>
          <w:caps w:val="0"/>
          <w:color w:val="262626"/>
          <w:spacing w:val="0"/>
          <w:sz w:val="24"/>
          <w:szCs w:val="24"/>
          <w:shd w:val="clear" w:fill="FFFFFF"/>
        </w:rPr>
        <w:t xml:space="preserve">, 92-99.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"https://doi.org/10.1016/j.jes.2017.08.012"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https://doi.org/10.1016/j.jes.2017.08.012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331114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Congues, F., Wang, P., Lee, J., Lin, D., Shahid, A., Xie, J., &amp; Huang, Y. (2024). Targeting aryl hydrocarbon receptor to prevent cancer in barrier organs. </w:t>
      </w:r>
      <w:r>
        <w:rPr>
          <w:rStyle w:val="11"/>
          <w:rFonts w:hint="default" w:ascii="Times New Roman" w:hAnsi="Times New Roman" w:eastAsia="Tahoma" w:cs="Times New Roman"/>
          <w:i w:val="0"/>
          <w:iCs w:val="0"/>
          <w:caps w:val="0"/>
          <w:color w:val="262626"/>
          <w:spacing w:val="0"/>
          <w:sz w:val="24"/>
          <w:szCs w:val="24"/>
          <w:shd w:val="clear" w:fill="FFFFFF"/>
        </w:rPr>
        <w:t>Biochemical Pharmacology</w:t>
      </w:r>
      <w:r>
        <w:rPr>
          <w:rFonts w:hint="default" w:ascii="Times New Roman" w:hAnsi="Times New Roman" w:eastAsia="Tahoma" w:cs="Times New Roman"/>
          <w:i w:val="0"/>
          <w:iCs w:val="0"/>
          <w:caps w:val="0"/>
          <w:color w:val="262626"/>
          <w:spacing w:val="0"/>
          <w:sz w:val="24"/>
          <w:szCs w:val="24"/>
          <w:shd w:val="clear" w:fill="FFFFFF"/>
        </w:rPr>
        <w:t xml:space="preserve">, 116156.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"https://doi.org/10.1016/j.bcp.2024.116156"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https://doi.org/10.1016/j.bcp.2024.116156</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17040F3">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Dardymov, I. V. (1976). </w:t>
      </w:r>
      <w:r>
        <w:rPr>
          <w:rStyle w:val="11"/>
          <w:rFonts w:hint="default" w:ascii="Times New Roman" w:hAnsi="Times New Roman" w:eastAsia="Tahoma" w:cs="Times New Roman"/>
          <w:i w:val="0"/>
          <w:iCs w:val="0"/>
          <w:caps w:val="0"/>
          <w:color w:val="262626"/>
          <w:spacing w:val="0"/>
          <w:sz w:val="24"/>
          <w:szCs w:val="24"/>
          <w:shd w:val="clear" w:fill="FFFFFF"/>
        </w:rPr>
        <w:t>Ginseng, Eleutherococcus (To the mechanism of physiological action)</w:t>
      </w:r>
      <w:r>
        <w:rPr>
          <w:rFonts w:hint="default" w:ascii="Times New Roman" w:hAnsi="Times New Roman" w:eastAsia="Tahoma" w:cs="Times New Roman"/>
          <w:i w:val="0"/>
          <w:iCs w:val="0"/>
          <w:caps w:val="0"/>
          <w:color w:val="262626"/>
          <w:spacing w:val="0"/>
          <w:sz w:val="24"/>
          <w:szCs w:val="24"/>
          <w:shd w:val="clear" w:fill="FFFFFF"/>
        </w:rPr>
        <w:t xml:space="preserve"> [in Russian]. Moskva: Nauka.</w:t>
      </w:r>
      <w:r>
        <w:rPr>
          <w:rFonts w:hint="default" w:ascii="Times New Roman" w:hAnsi="Times New Roman" w:eastAsia="Tahoma" w:cs="Times New Roman"/>
          <w:i w:val="0"/>
          <w:iCs w:val="0"/>
          <w:caps w:val="0"/>
          <w:color w:val="262626"/>
          <w:spacing w:val="0"/>
          <w:sz w:val="24"/>
          <w:szCs w:val="24"/>
          <w:shd w:val="clear" w:fill="FFFFFF"/>
          <w:lang w:val="pl-PL"/>
        </w:rPr>
        <w:t xml:space="preserve"> 189.</w:t>
      </w:r>
    </w:p>
    <w:p w14:paraId="76B0BD8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Datsko, O. R., Bubnyak, A. B., &amp; Ivassivka, S. V. (2008). The organic part in mineral water Naftussya. Development of knowledges about its composition and origination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6</w:t>
      </w:r>
      <w:r>
        <w:rPr>
          <w:rFonts w:hint="default" w:ascii="Times New Roman" w:hAnsi="Times New Roman" w:eastAsia="Tahoma" w:cs="Times New Roman"/>
          <w:i w:val="0"/>
          <w:iCs w:val="0"/>
          <w:caps w:val="0"/>
          <w:color w:val="262626"/>
          <w:spacing w:val="0"/>
          <w:sz w:val="24"/>
          <w:szCs w:val="24"/>
          <w:shd w:val="clear" w:fill="FFFFFF"/>
        </w:rPr>
        <w:t>(1), 168-174.</w:t>
      </w:r>
    </w:p>
    <w:p w14:paraId="35E93A6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Denison, M. S., Pandini, A., Nagy, S. R., Baldwin, E. P., &amp; Bonati, L. (2002). Ligand binding and activation of the Ah receptor. </w:t>
      </w:r>
      <w:r>
        <w:rPr>
          <w:rStyle w:val="11"/>
          <w:rFonts w:hint="default" w:ascii="Times New Roman" w:hAnsi="Times New Roman" w:eastAsia="Tahoma" w:cs="Times New Roman"/>
          <w:i w:val="0"/>
          <w:iCs w:val="0"/>
          <w:caps w:val="0"/>
          <w:color w:val="262626"/>
          <w:spacing w:val="0"/>
          <w:sz w:val="24"/>
          <w:szCs w:val="24"/>
          <w:shd w:val="clear" w:fill="FFFFFF"/>
        </w:rPr>
        <w:t>Chemico-Biological Interactions, 141</w:t>
      </w:r>
      <w:r>
        <w:rPr>
          <w:rFonts w:hint="default" w:ascii="Times New Roman" w:hAnsi="Times New Roman" w:eastAsia="Tahoma" w:cs="Times New Roman"/>
          <w:i w:val="0"/>
          <w:iCs w:val="0"/>
          <w:caps w:val="0"/>
          <w:color w:val="262626"/>
          <w:spacing w:val="0"/>
          <w:sz w:val="24"/>
          <w:szCs w:val="24"/>
          <w:shd w:val="clear" w:fill="FFFFFF"/>
        </w:rPr>
        <w:t xml:space="preserve">(1-2), 3-24.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"https://doi.org/10.1016/s0009-2797(02)00063-7"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https://doi.org/10.1016/s0009-2797(02)00063-7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2A10A8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Denison, M. S., Soshilov, A. A., He, G., DeGroot, D. E., &amp; Zhao, B. (2011). Exactly the same but different: Promiscuity and diversity in the molecular mechanisms of action of the aryl hydrocarbon (dioxin) receptor. </w:t>
      </w:r>
      <w:r>
        <w:rPr>
          <w:rStyle w:val="11"/>
          <w:rFonts w:hint="default" w:ascii="Times New Roman" w:hAnsi="Times New Roman" w:eastAsia="Tahoma" w:cs="Times New Roman"/>
          <w:i w:val="0"/>
          <w:iCs w:val="0"/>
          <w:caps w:val="0"/>
          <w:color w:val="262626"/>
          <w:spacing w:val="0"/>
          <w:sz w:val="24"/>
          <w:szCs w:val="24"/>
          <w:shd w:val="clear" w:fill="FFFFFF"/>
        </w:rPr>
        <w:t>Toxicological Sciences, 124</w:t>
      </w:r>
      <w:r>
        <w:rPr>
          <w:rFonts w:hint="default" w:ascii="Times New Roman" w:hAnsi="Times New Roman" w:eastAsia="Tahoma" w:cs="Times New Roman"/>
          <w:i w:val="0"/>
          <w:iCs w:val="0"/>
          <w:caps w:val="0"/>
          <w:color w:val="262626"/>
          <w:spacing w:val="0"/>
          <w:sz w:val="24"/>
          <w:szCs w:val="24"/>
          <w:shd w:val="clear" w:fill="FFFFFF"/>
        </w:rPr>
        <w:t xml:space="preserve">, 1-22.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"https://doi.org/10.1093/toxsci/kfr218"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https://doi.org/10.1093/toxsci/kfr218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26AF11D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Eckers, A., Jakob, S., Heiss, C., Haarmann-Stemmann, T., Goy, C., Brinkmann, V., Cortese-Krott, M. M., Sansone, R., Esser, C., Ale-Agha, N., Altschmied, J., Ventura, N., &amp; Haendeler, J. (2016). The aryl hydrocarbon receptor promotes aging phenotypes across species. </w:t>
      </w:r>
      <w:r>
        <w:rPr>
          <w:rStyle w:val="11"/>
          <w:rFonts w:hint="default" w:ascii="Times New Roman" w:hAnsi="Times New Roman" w:eastAsia="Tahoma" w:cs="Times New Roman"/>
          <w:i w:val="0"/>
          <w:iCs w:val="0"/>
          <w:caps w:val="0"/>
          <w:color w:val="262626"/>
          <w:spacing w:val="0"/>
          <w:sz w:val="24"/>
          <w:szCs w:val="24"/>
          <w:shd w:val="clear" w:fill="FFFFFF"/>
        </w:rPr>
        <w:t>Scientific Reports, 6</w:t>
      </w:r>
      <w:r>
        <w:rPr>
          <w:rFonts w:hint="default" w:ascii="Times New Roman" w:hAnsi="Times New Roman" w:eastAsia="Tahoma" w:cs="Times New Roman"/>
          <w:i w:val="0"/>
          <w:iCs w:val="0"/>
          <w:caps w:val="0"/>
          <w:color w:val="262626"/>
          <w:spacing w:val="0"/>
          <w:sz w:val="24"/>
          <w:szCs w:val="24"/>
          <w:shd w:val="clear" w:fill="FFFFFF"/>
        </w:rPr>
        <w:t xml:space="preserve">, 19618.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"https://doi.org/10.1038/srep19618"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https://doi.org/10.1038/srep19618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3F2C7C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Elson, D. J., &amp; Kolluri, S. K. (2023). Tumor-suppressive functions of the aryl hydrocarbon receptor (AhR) and AhR as a therapeutic target in cancer. </w:t>
      </w:r>
      <w:r>
        <w:rPr>
          <w:rStyle w:val="11"/>
          <w:rFonts w:hint="default" w:ascii="Times New Roman" w:hAnsi="Times New Roman" w:eastAsia="Tahoma" w:cs="Times New Roman"/>
          <w:i w:val="0"/>
          <w:iCs w:val="0"/>
          <w:caps w:val="0"/>
          <w:color w:val="262626"/>
          <w:spacing w:val="0"/>
          <w:sz w:val="24"/>
          <w:szCs w:val="24"/>
          <w:shd w:val="clear" w:fill="FFFFFF"/>
        </w:rPr>
        <w:t>Biology, 12</w:t>
      </w:r>
      <w:r>
        <w:rPr>
          <w:rFonts w:hint="default" w:ascii="Times New Roman" w:hAnsi="Times New Roman" w:eastAsia="Tahoma" w:cs="Times New Roman"/>
          <w:i w:val="0"/>
          <w:iCs w:val="0"/>
          <w:caps w:val="0"/>
          <w:color w:val="262626"/>
          <w:spacing w:val="0"/>
          <w:sz w:val="24"/>
          <w:szCs w:val="24"/>
          <w:shd w:val="clear" w:fill="FFFFFF"/>
        </w:rPr>
        <w:t xml:space="preserve">(4), 526.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"https://doi.org/10.3390/biology12040526"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https://doi.org/10.3390/biology12040526</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C70144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Esmaealzadeh, N., Iranpanah, A., Sarris, J., &amp; Rahimi, R. (2022). A literature review of the studies concerning selected plant-derived adaptogens and their general function in body with a focus on animal studies. </w:t>
      </w:r>
      <w:r>
        <w:rPr>
          <w:rStyle w:val="11"/>
          <w:rFonts w:hint="default" w:ascii="Times New Roman" w:hAnsi="Times New Roman" w:eastAsia="Tahoma" w:cs="Times New Roman"/>
          <w:i w:val="0"/>
          <w:iCs w:val="0"/>
          <w:caps w:val="0"/>
          <w:color w:val="262626"/>
          <w:spacing w:val="0"/>
          <w:sz w:val="24"/>
          <w:szCs w:val="24"/>
          <w:shd w:val="clear" w:fill="FFFFFF"/>
        </w:rPr>
        <w:t>Phytomedicine, 105</w:t>
      </w:r>
      <w:r>
        <w:rPr>
          <w:rFonts w:hint="default" w:ascii="Times New Roman" w:hAnsi="Times New Roman" w:eastAsia="Tahoma" w:cs="Times New Roman"/>
          <w:i w:val="0"/>
          <w:iCs w:val="0"/>
          <w:caps w:val="0"/>
          <w:color w:val="262626"/>
          <w:spacing w:val="0"/>
          <w:sz w:val="24"/>
          <w:szCs w:val="24"/>
          <w:shd w:val="clear" w:fill="FFFFFF"/>
        </w:rPr>
        <w:t xml:space="preserve">, 154354.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"https://doi.org/10.1016/j.phymed.2022.154354"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https://doi.org/10.1016/j.phymed.2022.154354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0D14623">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Esser, C., &amp; Rannug, A. (2015). The aryl hydrocarbon receptor in barrier organ physiology, immunology, and toxicology. </w:t>
      </w:r>
      <w:r>
        <w:rPr>
          <w:rStyle w:val="11"/>
          <w:rFonts w:hint="default" w:ascii="Times New Roman" w:hAnsi="Times New Roman" w:eastAsia="Tahoma" w:cs="Times New Roman"/>
          <w:i w:val="0"/>
          <w:iCs w:val="0"/>
          <w:caps w:val="0"/>
          <w:color w:val="262626"/>
          <w:spacing w:val="0"/>
          <w:sz w:val="24"/>
          <w:szCs w:val="24"/>
          <w:shd w:val="clear" w:fill="FFFFFF"/>
        </w:rPr>
        <w:t>Pharmacological Reviews, 67</w:t>
      </w:r>
      <w:r>
        <w:rPr>
          <w:rFonts w:hint="default" w:ascii="Times New Roman" w:hAnsi="Times New Roman" w:eastAsia="Tahoma" w:cs="Times New Roman"/>
          <w:i w:val="0"/>
          <w:iCs w:val="0"/>
          <w:caps w:val="0"/>
          <w:color w:val="262626"/>
          <w:spacing w:val="0"/>
          <w:sz w:val="24"/>
          <w:szCs w:val="24"/>
          <w:shd w:val="clear" w:fill="FFFFFF"/>
        </w:rPr>
        <w:t xml:space="preserve">(2), 259-279.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"https://doi.org/10.1124/pr.114.009001"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https://doi.org/10.1124/pr.114.009001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558A4D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Fihura, O. A., Ruzhylo, S. V., Korda, M. M., Klishch, I. M., Żukow, X., &amp; Popovych, I. L. (2023). The influence of the Ukrainian phytocomposition "Balm Truskavets'" on parameters of neuro-endocrine-immune complex and biophotonics in humans with maladaptation.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13</w:t>
      </w:r>
      <w:r>
        <w:rPr>
          <w:rFonts w:hint="default" w:ascii="Times New Roman" w:hAnsi="Times New Roman" w:eastAsia="Tahoma" w:cs="Times New Roman"/>
          <w:i w:val="0"/>
          <w:iCs w:val="0"/>
          <w:caps w:val="0"/>
          <w:color w:val="262626"/>
          <w:spacing w:val="0"/>
          <w:sz w:val="24"/>
          <w:szCs w:val="24"/>
          <w:shd w:val="clear" w:fill="FFFFFF"/>
        </w:rPr>
        <w:t xml:space="preserve">(1), 326-337.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"http://dx.doi.org/10.12775/JEHS.2023.13.01.048"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http://dx.doi.org/10.12775/JEHS.2023.13.01.048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D4FC67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Fihura, O. A. (2023). Аmelioration by phytoadaptogene of effects of balneofactors of Truskavets' Spa on patients with post-radiation encephalopathy.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19</w:t>
      </w:r>
      <w:r>
        <w:rPr>
          <w:rFonts w:hint="default" w:ascii="Times New Roman" w:hAnsi="Times New Roman" w:eastAsia="Tahoma" w:cs="Times New Roman"/>
          <w:i w:val="0"/>
          <w:iCs w:val="0"/>
          <w:caps w:val="0"/>
          <w:color w:val="262626"/>
          <w:spacing w:val="0"/>
          <w:sz w:val="24"/>
          <w:szCs w:val="24"/>
          <w:shd w:val="clear" w:fill="FFFFFF"/>
        </w:rPr>
        <w:t xml:space="preserve">(1), 36-58.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"http://dx.doi.org/10.12775/JEHS.2023.19.01.005"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http://dx.doi.org/10.12775/JEHS.2023.19.01.005</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4299B95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Fihura, O. A., Ruzhylo, S. V., &amp; Popovych, I. L. (2022). Ukrainian adaptogenic phytocomposition "Balm Truskavets'" modulate EEG, HRV and biophotonics (GDV) parameters. </w:t>
      </w:r>
      <w:r>
        <w:rPr>
          <w:rStyle w:val="11"/>
          <w:rFonts w:hint="default" w:ascii="Times New Roman" w:hAnsi="Times New Roman" w:eastAsia="Tahoma" w:cs="Times New Roman"/>
          <w:i w:val="0"/>
          <w:iCs w:val="0"/>
          <w:caps w:val="0"/>
          <w:color w:val="262626"/>
          <w:spacing w:val="0"/>
          <w:sz w:val="24"/>
          <w:szCs w:val="24"/>
          <w:shd w:val="clear" w:fill="FFFFFF"/>
        </w:rPr>
        <w:t>Journal of Marine Medicine, 2</w:t>
      </w:r>
      <w:r>
        <w:rPr>
          <w:rFonts w:hint="default" w:ascii="Times New Roman" w:hAnsi="Times New Roman" w:eastAsia="Tahoma" w:cs="Times New Roman"/>
          <w:i w:val="0"/>
          <w:iCs w:val="0"/>
          <w:caps w:val="0"/>
          <w:color w:val="262626"/>
          <w:spacing w:val="0"/>
          <w:sz w:val="24"/>
          <w:szCs w:val="24"/>
          <w:shd w:val="clear" w:fill="FFFFFF"/>
        </w:rPr>
        <w:t>(95), 99-108.</w:t>
      </w:r>
    </w:p>
    <w:p w14:paraId="593F1543">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Fihura, O. A., Ruzhylo, S. V., &amp; Zakalyak, N. R. (2022). Phytoadaptogen reverses the adverse effects of Naftussya bioactive water on dynamic muscle performance in healthy rats. </w:t>
      </w:r>
      <w:r>
        <w:rPr>
          <w:rStyle w:val="11"/>
          <w:rFonts w:hint="default" w:ascii="Times New Roman" w:hAnsi="Times New Roman" w:eastAsia="Tahoma" w:cs="Times New Roman"/>
          <w:i w:val="0"/>
          <w:iCs w:val="0"/>
          <w:caps w:val="0"/>
          <w:color w:val="262626"/>
          <w:spacing w:val="0"/>
          <w:sz w:val="24"/>
          <w:szCs w:val="24"/>
          <w:shd w:val="clear" w:fill="FFFFFF"/>
        </w:rPr>
        <w:t>Quality in Sport, 8</w:t>
      </w:r>
      <w:r>
        <w:rPr>
          <w:rFonts w:hint="default" w:ascii="Times New Roman" w:hAnsi="Times New Roman" w:eastAsia="Tahoma" w:cs="Times New Roman"/>
          <w:i w:val="0"/>
          <w:iCs w:val="0"/>
          <w:caps w:val="0"/>
          <w:color w:val="262626"/>
          <w:spacing w:val="0"/>
          <w:sz w:val="24"/>
          <w:szCs w:val="24"/>
          <w:shd w:val="clear" w:fill="FFFFFF"/>
        </w:rPr>
        <w:t>(2), 45-55.</w:t>
      </w:r>
    </w:p>
    <w:p w14:paraId="3506663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Flyunt, I. S., Chebanenko, L. O., Chebanenko, O. I., Kyjenko, V. M., &amp; Fil', V. M. (2002). </w:t>
      </w:r>
      <w:r>
        <w:rPr>
          <w:rStyle w:val="11"/>
          <w:rFonts w:hint="default" w:ascii="Times New Roman" w:hAnsi="Times New Roman" w:eastAsia="Tahoma" w:cs="Times New Roman"/>
          <w:i w:val="0"/>
          <w:iCs w:val="0"/>
          <w:caps w:val="0"/>
          <w:color w:val="262626"/>
          <w:spacing w:val="0"/>
          <w:sz w:val="24"/>
          <w:szCs w:val="24"/>
          <w:shd w:val="clear" w:fill="FFFFFF"/>
        </w:rPr>
        <w:t>Experimental Balneophytotherapy</w:t>
      </w:r>
      <w:r>
        <w:rPr>
          <w:rFonts w:hint="default" w:ascii="Times New Roman" w:hAnsi="Times New Roman" w:eastAsia="Tahoma" w:cs="Times New Roman"/>
          <w:i w:val="0"/>
          <w:iCs w:val="0"/>
          <w:caps w:val="0"/>
          <w:color w:val="262626"/>
          <w:spacing w:val="0"/>
          <w:sz w:val="24"/>
          <w:szCs w:val="24"/>
          <w:shd w:val="clear" w:fill="FFFFFF"/>
        </w:rPr>
        <w:t xml:space="preserve"> [in Ukrainian]. Kyїv: UNESCO-SOCIO.</w:t>
      </w:r>
      <w:r>
        <w:rPr>
          <w:rFonts w:hint="default" w:ascii="Times New Roman" w:hAnsi="Times New Roman" w:eastAsia="Tahoma" w:cs="Times New Roman"/>
          <w:i w:val="0"/>
          <w:iCs w:val="0"/>
          <w:caps w:val="0"/>
          <w:color w:val="262626"/>
          <w:spacing w:val="0"/>
          <w:sz w:val="24"/>
          <w:szCs w:val="24"/>
          <w:shd w:val="clear" w:fill="FFFFFF"/>
          <w:lang w:val="pl-PL"/>
        </w:rPr>
        <w:t xml:space="preserve"> 196.</w:t>
      </w:r>
    </w:p>
    <w:p w14:paraId="23B8220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Flyunt, I. S., Chebanenko, O. I., Hrinchenko, B. V., Barylyak, L. G., &amp; Popovych, I. L. (2002). </w:t>
      </w:r>
      <w:r>
        <w:rPr>
          <w:rStyle w:val="11"/>
          <w:rFonts w:hint="default" w:ascii="Times New Roman" w:hAnsi="Times New Roman" w:eastAsia="Tahoma" w:cs="Times New Roman"/>
          <w:i w:val="0"/>
          <w:iCs w:val="0"/>
          <w:caps w:val="0"/>
          <w:color w:val="262626"/>
          <w:spacing w:val="0"/>
          <w:sz w:val="24"/>
          <w:szCs w:val="24"/>
          <w:shd w:val="clear" w:fill="FFFFFF"/>
        </w:rPr>
        <w:t>Balneophytoradiodefensology. Influence of therapeutic factors of Truskavets' spa on the state of adaptation and protection systems of the victims of the Chernobyl disaster</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112.</w:t>
      </w:r>
    </w:p>
    <w:p w14:paraId="45F1677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Gerontakos, S. E., Casteleijn, D., Shikov, A. N., &amp; Wardle, J. (2020). A critical review to identify the domains used to measure the effect and outcome of adaptogenic herbal medicines. </w:t>
      </w:r>
      <w:r>
        <w:rPr>
          <w:rStyle w:val="11"/>
          <w:rFonts w:hint="default" w:ascii="Times New Roman" w:hAnsi="Times New Roman" w:eastAsia="Tahoma" w:cs="Times New Roman"/>
          <w:i w:val="0"/>
          <w:iCs w:val="0"/>
          <w:caps w:val="0"/>
          <w:color w:val="262626"/>
          <w:spacing w:val="0"/>
          <w:sz w:val="24"/>
          <w:szCs w:val="24"/>
          <w:shd w:val="clear" w:fill="FFFFFF"/>
        </w:rPr>
        <w:t>Yale Journal of Biology and Medicine, 93</w:t>
      </w:r>
      <w:r>
        <w:rPr>
          <w:rFonts w:hint="default" w:ascii="Times New Roman" w:hAnsi="Times New Roman" w:eastAsia="Tahoma" w:cs="Times New Roman"/>
          <w:i w:val="0"/>
          <w:iCs w:val="0"/>
          <w:caps w:val="0"/>
          <w:color w:val="262626"/>
          <w:spacing w:val="0"/>
          <w:sz w:val="24"/>
          <w:szCs w:val="24"/>
          <w:shd w:val="clear" w:fill="FFFFFF"/>
        </w:rPr>
        <w:t>(2), 327-346.</w:t>
      </w:r>
    </w:p>
    <w:p w14:paraId="30974ED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Giani T</w:t>
      </w:r>
      <w:r>
        <w:rPr>
          <w:rFonts w:hint="default" w:ascii="Times New Roman" w:hAnsi="Times New Roman" w:eastAsia="Tahoma" w:cs="Times New Roman"/>
          <w:i w:val="0"/>
          <w:iCs w:val="0"/>
          <w:caps w:val="0"/>
          <w:color w:val="262626"/>
          <w:spacing w:val="0"/>
          <w:sz w:val="24"/>
          <w:szCs w:val="24"/>
          <w:shd w:val="clear" w:fill="FFFFFF"/>
          <w:lang w:val="pl-PL"/>
        </w:rPr>
        <w:t>.</w:t>
      </w:r>
      <w:r>
        <w:rPr>
          <w:rFonts w:hint="default" w:ascii="Times New Roman" w:hAnsi="Times New Roman" w:eastAsia="Tahoma" w:cs="Times New Roman"/>
          <w:i w:val="0"/>
          <w:iCs w:val="0"/>
          <w:caps w:val="0"/>
          <w:color w:val="262626"/>
          <w:spacing w:val="0"/>
          <w:sz w:val="24"/>
          <w:szCs w:val="24"/>
          <w:shd w:val="clear" w:fill="FFFFFF"/>
        </w:rPr>
        <w:t xml:space="preserve"> S., Faber, S. C., Motta, S., Denison, M. S., &amp; Bonati, L. (2019). Modeling the binding of diverse ligands within the Ah receptor ligand binding domain. </w:t>
      </w:r>
      <w:r>
        <w:rPr>
          <w:rStyle w:val="11"/>
          <w:rFonts w:hint="default" w:ascii="Times New Roman" w:hAnsi="Times New Roman" w:eastAsia="Tahoma" w:cs="Times New Roman"/>
          <w:i w:val="0"/>
          <w:iCs w:val="0"/>
          <w:caps w:val="0"/>
          <w:color w:val="262626"/>
          <w:spacing w:val="0"/>
          <w:sz w:val="24"/>
          <w:szCs w:val="24"/>
          <w:shd w:val="clear" w:fill="FFFFFF"/>
        </w:rPr>
        <w:t>Scientific Reports, 9</w:t>
      </w:r>
      <w:r>
        <w:rPr>
          <w:rFonts w:hint="default" w:ascii="Times New Roman" w:hAnsi="Times New Roman" w:eastAsia="Tahoma" w:cs="Times New Roman"/>
          <w:i w:val="0"/>
          <w:iCs w:val="0"/>
          <w:caps w:val="0"/>
          <w:color w:val="262626"/>
          <w:spacing w:val="0"/>
          <w:sz w:val="24"/>
          <w:szCs w:val="24"/>
          <w:shd w:val="clear" w:fill="FFFFFF"/>
        </w:rPr>
        <w:t xml:space="preserve">(1), 10693.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"https://doi.org/10.1038/s41598-019-47138-z"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https://doi.org/10.1038/s41598-019-47138-z</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5E444B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Gozhenko, A. I., Zukow, W., Polovynko, I. S., Zajats, L. M., Yanchij, R. I., Portnichenko, V. I., &amp; Popovych, I. L. (2019). </w:t>
      </w:r>
      <w:r>
        <w:rPr>
          <w:rStyle w:val="11"/>
          <w:rFonts w:hint="default" w:ascii="Times New Roman" w:hAnsi="Times New Roman" w:eastAsia="Tahoma" w:cs="Times New Roman"/>
          <w:i w:val="0"/>
          <w:iCs w:val="0"/>
          <w:caps w:val="0"/>
          <w:color w:val="262626"/>
          <w:spacing w:val="0"/>
          <w:sz w:val="24"/>
          <w:szCs w:val="24"/>
          <w:shd w:val="clear" w:fill="FFFFFF"/>
        </w:rPr>
        <w:t>Individual immune responses to chronic stress and their neuro-endocrine accompaniment</w:t>
      </w:r>
      <w:r>
        <w:rPr>
          <w:rFonts w:hint="default" w:ascii="Times New Roman" w:hAnsi="Times New Roman" w:eastAsia="Tahoma" w:cs="Times New Roman"/>
          <w:i w:val="0"/>
          <w:iCs w:val="0"/>
          <w:caps w:val="0"/>
          <w:color w:val="262626"/>
          <w:spacing w:val="0"/>
          <w:sz w:val="24"/>
          <w:szCs w:val="24"/>
          <w:shd w:val="clear" w:fill="FFFFFF"/>
        </w:rPr>
        <w:t>. Radom, Torun: RSW UMK.</w:t>
      </w:r>
      <w:r>
        <w:rPr>
          <w:rFonts w:hint="default" w:ascii="Times New Roman" w:hAnsi="Times New Roman" w:eastAsia="Tahoma" w:cs="Times New Roman"/>
          <w:i w:val="0"/>
          <w:iCs w:val="0"/>
          <w:caps w:val="0"/>
          <w:color w:val="262626"/>
          <w:spacing w:val="0"/>
          <w:sz w:val="24"/>
          <w:szCs w:val="24"/>
          <w:shd w:val="clear" w:fill="FFFFFF"/>
          <w:lang w:val="pl-PL"/>
        </w:rPr>
        <w:t xml:space="preserve"> 200.</w:t>
      </w:r>
    </w:p>
    <w:p w14:paraId="79AD209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Gozhenko, А. І., Korda, M. M., Popadynets, O. O., &amp; Popovych, I. L. (2021). </w:t>
      </w:r>
      <w:r>
        <w:rPr>
          <w:rStyle w:val="11"/>
          <w:rFonts w:hint="default" w:ascii="Times New Roman" w:hAnsi="Times New Roman" w:eastAsia="Tahoma" w:cs="Times New Roman"/>
          <w:i w:val="0"/>
          <w:iCs w:val="0"/>
          <w:caps w:val="0"/>
          <w:color w:val="262626"/>
          <w:spacing w:val="0"/>
          <w:sz w:val="24"/>
          <w:szCs w:val="24"/>
          <w:shd w:val="clear" w:fill="FFFFFF"/>
        </w:rPr>
        <w:t>Entropy, harmony, synchronization and their neuro-endocrine-immune correlates</w:t>
      </w:r>
      <w:r>
        <w:rPr>
          <w:rFonts w:hint="default" w:ascii="Times New Roman" w:hAnsi="Times New Roman" w:eastAsia="Tahoma" w:cs="Times New Roman"/>
          <w:i w:val="0"/>
          <w:iCs w:val="0"/>
          <w:caps w:val="0"/>
          <w:color w:val="262626"/>
          <w:spacing w:val="0"/>
          <w:sz w:val="24"/>
          <w:szCs w:val="24"/>
          <w:shd w:val="clear" w:fill="FFFFFF"/>
        </w:rPr>
        <w:t xml:space="preserve"> [in Ukrainian]. Odesa: Feniks.</w:t>
      </w:r>
      <w:r>
        <w:rPr>
          <w:rFonts w:hint="default" w:ascii="Times New Roman" w:hAnsi="Times New Roman" w:eastAsia="Tahoma" w:cs="Times New Roman"/>
          <w:i w:val="0"/>
          <w:iCs w:val="0"/>
          <w:caps w:val="0"/>
          <w:color w:val="262626"/>
          <w:spacing w:val="0"/>
          <w:sz w:val="24"/>
          <w:szCs w:val="24"/>
          <w:shd w:val="clear" w:fill="FFFFFF"/>
          <w:lang w:val="pl-PL"/>
        </w:rPr>
        <w:t xml:space="preserve"> 232.</w:t>
      </w:r>
    </w:p>
    <w:p w14:paraId="4BC9174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Gumega, M. D., Levytskyi, A. B., &amp; Popovych, I. L. (2011). </w:t>
      </w:r>
      <w:r>
        <w:rPr>
          <w:rStyle w:val="11"/>
          <w:rFonts w:hint="default" w:ascii="Times New Roman" w:hAnsi="Times New Roman" w:eastAsia="Tahoma" w:cs="Times New Roman"/>
          <w:i w:val="0"/>
          <w:iCs w:val="0"/>
          <w:caps w:val="0"/>
          <w:color w:val="262626"/>
          <w:spacing w:val="0"/>
          <w:sz w:val="24"/>
          <w:szCs w:val="24"/>
          <w:shd w:val="clear" w:fill="FFFFFF"/>
        </w:rPr>
        <w:t>Balneogastroenterology</w:t>
      </w:r>
      <w:r>
        <w:rPr>
          <w:rFonts w:hint="default" w:ascii="Times New Roman" w:hAnsi="Times New Roman" w:eastAsia="Tahoma" w:cs="Times New Roman"/>
          <w:i w:val="0"/>
          <w:iCs w:val="0"/>
          <w:caps w:val="0"/>
          <w:color w:val="262626"/>
          <w:spacing w:val="0"/>
          <w:sz w:val="24"/>
          <w:szCs w:val="24"/>
          <w:shd w:val="clear" w:fill="FFFFFF"/>
        </w:rPr>
        <w:t xml:space="preserve"> [in Ukrainian]. Kyїv: UNESCO-SOCIO.</w:t>
      </w:r>
      <w:r>
        <w:rPr>
          <w:rFonts w:hint="default" w:ascii="Times New Roman" w:hAnsi="Times New Roman" w:eastAsia="Tahoma" w:cs="Times New Roman"/>
          <w:i w:val="0"/>
          <w:iCs w:val="0"/>
          <w:caps w:val="0"/>
          <w:color w:val="262626"/>
          <w:spacing w:val="0"/>
          <w:sz w:val="24"/>
          <w:szCs w:val="24"/>
          <w:shd w:val="clear" w:fill="FFFFFF"/>
          <w:lang w:val="pl-PL"/>
        </w:rPr>
        <w:t xml:space="preserve"> 243.</w:t>
      </w:r>
    </w:p>
    <w:p w14:paraId="35C8E2BA">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Hrinchenko, B. V., Ruzhylo, S. V., Flyunt, I. S., Alyeksyeyev, A. I., &amp; Huchko, B. Y. (1999). The effect of complex balneotherapy at the Truskavets' resort with the use of phytoadaptogen on psychophysiological functions and physical performance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2</w:t>
      </w:r>
      <w:r>
        <w:rPr>
          <w:rFonts w:hint="default" w:ascii="Times New Roman" w:hAnsi="Times New Roman" w:eastAsia="Tahoma" w:cs="Times New Roman"/>
          <w:i w:val="0"/>
          <w:iCs w:val="0"/>
          <w:caps w:val="0"/>
          <w:color w:val="262626"/>
          <w:spacing w:val="0"/>
          <w:sz w:val="24"/>
          <w:szCs w:val="24"/>
          <w:shd w:val="clear" w:fill="FFFFFF"/>
        </w:rPr>
        <w:t>(1), 31-35.</w:t>
      </w:r>
    </w:p>
    <w:p w14:paraId="3BE7BBB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Hrinchenko, B. V. (1998). A comparative study of the effect of balneotherapy with the use of Krymskyi and Bittner balms on physical performance and central hemodynamics [in Ukrainian]. </w:t>
      </w:r>
      <w:r>
        <w:rPr>
          <w:rStyle w:val="11"/>
          <w:rFonts w:hint="default" w:ascii="Times New Roman" w:hAnsi="Times New Roman" w:eastAsia="Tahoma" w:cs="Times New Roman"/>
          <w:i w:val="0"/>
          <w:iCs w:val="0"/>
          <w:caps w:val="0"/>
          <w:color w:val="262626"/>
          <w:spacing w:val="0"/>
          <w:sz w:val="24"/>
          <w:szCs w:val="24"/>
          <w:shd w:val="clear" w:fill="FFFFFF"/>
        </w:rPr>
        <w:t>Ukrainian Balneological Journal, 1</w:t>
      </w:r>
      <w:r>
        <w:rPr>
          <w:rFonts w:hint="default" w:ascii="Times New Roman" w:hAnsi="Times New Roman" w:eastAsia="Tahoma" w:cs="Times New Roman"/>
          <w:i w:val="0"/>
          <w:iCs w:val="0"/>
          <w:caps w:val="0"/>
          <w:color w:val="262626"/>
          <w:spacing w:val="0"/>
          <w:sz w:val="24"/>
          <w:szCs w:val="24"/>
          <w:shd w:val="clear" w:fill="FFFFFF"/>
        </w:rPr>
        <w:t>(4), 36-38.</w:t>
      </w:r>
    </w:p>
    <w:p w14:paraId="7FBF9D6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Hu, Q., He, G., Zhao, J., Soshilov, A., Denison, M. S., Zhang, A., Yin, H., Fraccalvieri, D., Bonati, L., Xie, Q., &amp; Zhao, B. (2013). Ginsenosides are novel naturally-occurring aryl hydrocarbon receptor ligands. </w:t>
      </w:r>
      <w:r>
        <w:rPr>
          <w:rStyle w:val="11"/>
          <w:rFonts w:hint="default" w:ascii="Times New Roman" w:hAnsi="Times New Roman" w:eastAsia="Tahoma" w:cs="Times New Roman"/>
          <w:i w:val="0"/>
          <w:iCs w:val="0"/>
          <w:caps w:val="0"/>
          <w:color w:val="262626"/>
          <w:spacing w:val="0"/>
          <w:sz w:val="24"/>
          <w:szCs w:val="24"/>
          <w:shd w:val="clear" w:fill="FFFFFF"/>
        </w:rPr>
        <w:t>PLOS ONE, 8</w:t>
      </w:r>
      <w:r>
        <w:rPr>
          <w:rFonts w:hint="default" w:ascii="Times New Roman" w:hAnsi="Times New Roman" w:eastAsia="Tahoma" w:cs="Times New Roman"/>
          <w:i w:val="0"/>
          <w:iCs w:val="0"/>
          <w:caps w:val="0"/>
          <w:color w:val="262626"/>
          <w:spacing w:val="0"/>
          <w:sz w:val="24"/>
          <w:szCs w:val="24"/>
          <w:shd w:val="clear" w:fill="FFFFFF"/>
        </w:rPr>
        <w:t xml:space="preserve">(6), e66258.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"https://doi.org/10.1371/journal.pone.0066258"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https://doi.org/10.1371/journal.pone.0066258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0D8FEA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Hyun, S. H., Ahn, H. Y., Kim, H. J., Kim, S. W., So, S. H., In, G., Kim, S. K., &amp; Han, C. K. (2021). Immuno-enhancement effects of Korean Red Ginseng in healthy adults: A randomized, double-blind, placebo-controlled trial. </w:t>
      </w:r>
      <w:r>
        <w:rPr>
          <w:rStyle w:val="11"/>
          <w:rFonts w:hint="default" w:ascii="Times New Roman" w:hAnsi="Times New Roman" w:eastAsia="Tahoma" w:cs="Times New Roman"/>
          <w:i w:val="0"/>
          <w:iCs w:val="0"/>
          <w:caps w:val="0"/>
          <w:color w:val="262626"/>
          <w:spacing w:val="0"/>
          <w:sz w:val="24"/>
          <w:szCs w:val="24"/>
          <w:shd w:val="clear" w:fill="FFFFFF"/>
        </w:rPr>
        <w:t>Journal of Ginseng Research, 45</w:t>
      </w:r>
      <w:r>
        <w:rPr>
          <w:rFonts w:hint="default" w:ascii="Times New Roman" w:hAnsi="Times New Roman" w:eastAsia="Tahoma" w:cs="Times New Roman"/>
          <w:i w:val="0"/>
          <w:iCs w:val="0"/>
          <w:caps w:val="0"/>
          <w:color w:val="262626"/>
          <w:spacing w:val="0"/>
          <w:sz w:val="24"/>
          <w:szCs w:val="24"/>
          <w:shd w:val="clear" w:fill="FFFFFF"/>
        </w:rPr>
        <w:t xml:space="preserve">(1), 191-198.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"https://doi.org/10.1016/j.jgr.2020.08.003"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https://doi.org/10.1016/j.jgr.2020.08.003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54405F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Ivassivka, S. V. (1997). </w:t>
      </w:r>
      <w:r>
        <w:rPr>
          <w:rStyle w:val="11"/>
          <w:rFonts w:hint="default" w:ascii="Times New Roman" w:hAnsi="Times New Roman" w:eastAsia="Tahoma" w:cs="Times New Roman"/>
          <w:i w:val="0"/>
          <w:iCs w:val="0"/>
          <w:caps w:val="0"/>
          <w:color w:val="262626"/>
          <w:spacing w:val="0"/>
          <w:sz w:val="24"/>
          <w:szCs w:val="24"/>
          <w:shd w:val="clear" w:fill="FFFFFF"/>
        </w:rPr>
        <w:t>Biologically active substances of Naftussya water, their genesis and mechanisms of physiological action</w:t>
      </w:r>
      <w:r>
        <w:rPr>
          <w:rFonts w:hint="default" w:ascii="Times New Roman" w:hAnsi="Times New Roman" w:eastAsia="Tahoma" w:cs="Times New Roman"/>
          <w:i w:val="0"/>
          <w:iCs w:val="0"/>
          <w:caps w:val="0"/>
          <w:color w:val="262626"/>
          <w:spacing w:val="0"/>
          <w:sz w:val="24"/>
          <w:szCs w:val="24"/>
          <w:shd w:val="clear" w:fill="FFFFFF"/>
        </w:rPr>
        <w:t xml:space="preserve"> [in Ukrainian]. Kyїv: Naukova dumka.</w:t>
      </w:r>
      <w:r>
        <w:rPr>
          <w:rFonts w:hint="default" w:ascii="Times New Roman" w:hAnsi="Times New Roman" w:eastAsia="Tahoma" w:cs="Times New Roman"/>
          <w:i w:val="0"/>
          <w:iCs w:val="0"/>
          <w:caps w:val="0"/>
          <w:color w:val="262626"/>
          <w:spacing w:val="0"/>
          <w:sz w:val="24"/>
          <w:szCs w:val="24"/>
          <w:shd w:val="clear" w:fill="FFFFFF"/>
          <w:lang w:val="pl-PL"/>
        </w:rPr>
        <w:t xml:space="preserve"> 110.</w:t>
      </w:r>
    </w:p>
    <w:p w14:paraId="0520060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Ivassivka, S. V., Kovbasnyuk, M. M., Bilas, V. R., &amp; Khodak, O. L. (2004). The effect of balneotherapy on the growth of Plis lymphosarcoma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2</w:t>
      </w:r>
      <w:r>
        <w:rPr>
          <w:rFonts w:hint="default" w:ascii="Times New Roman" w:hAnsi="Times New Roman" w:eastAsia="Tahoma" w:cs="Times New Roman"/>
          <w:i w:val="0"/>
          <w:iCs w:val="0"/>
          <w:caps w:val="0"/>
          <w:color w:val="262626"/>
          <w:spacing w:val="0"/>
          <w:sz w:val="24"/>
          <w:szCs w:val="24"/>
          <w:shd w:val="clear" w:fill="FFFFFF"/>
        </w:rPr>
        <w:t>(2), 52-57.</w:t>
      </w:r>
    </w:p>
    <w:p w14:paraId="7E84816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Ivassivka, S. V., Kovbasnyuk, M. M., Bilas, V. R., &amp; Khodak, O. L. (2005). Effect of Naftussya water on experimental tumors in rats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3</w:t>
      </w:r>
      <w:r>
        <w:rPr>
          <w:rFonts w:hint="default" w:ascii="Times New Roman" w:hAnsi="Times New Roman" w:eastAsia="Tahoma" w:cs="Times New Roman"/>
          <w:i w:val="0"/>
          <w:iCs w:val="0"/>
          <w:caps w:val="0"/>
          <w:color w:val="262626"/>
          <w:spacing w:val="0"/>
          <w:sz w:val="24"/>
          <w:szCs w:val="24"/>
          <w:shd w:val="clear" w:fill="FFFFFF"/>
        </w:rPr>
        <w:t>(2), 60-67.</w:t>
      </w:r>
    </w:p>
    <w:p w14:paraId="6862E3F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Ivassivka, S. V., &amp; Kovbasnyuk, M. M. (2011). The role of xenobiotic properties of Naftusya water in the activation of phagocytes and natural killers, the regulation of their interaction in normal and pathological conditions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9</w:t>
      </w:r>
      <w:r>
        <w:rPr>
          <w:rFonts w:hint="default" w:ascii="Times New Roman" w:hAnsi="Times New Roman" w:eastAsia="Tahoma" w:cs="Times New Roman"/>
          <w:i w:val="0"/>
          <w:iCs w:val="0"/>
          <w:caps w:val="0"/>
          <w:color w:val="262626"/>
          <w:spacing w:val="0"/>
          <w:sz w:val="24"/>
          <w:szCs w:val="24"/>
          <w:shd w:val="clear" w:fill="FFFFFF"/>
        </w:rPr>
        <w:t>(1), 16-36.</w:t>
      </w:r>
    </w:p>
    <w:p w14:paraId="5614811D">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Jin, W., Ma, R., Zhai, L., Wang, Y., Liu, Y., Dai, Z., Liang, X., Zhang, Y., &amp; Gao, Y. (2020). Ginsenoside Rd attenuates ACTH-induced corticosterone secretion by blocking the MC2R-cAMP/PKA/CREB pathway in Y1 mouse adrenocortical cells. </w:t>
      </w:r>
      <w:r>
        <w:rPr>
          <w:rStyle w:val="11"/>
          <w:rFonts w:hint="default" w:ascii="Times New Roman" w:hAnsi="Times New Roman" w:eastAsia="Tahoma" w:cs="Times New Roman"/>
          <w:i w:val="0"/>
          <w:iCs w:val="0"/>
          <w:caps w:val="0"/>
          <w:color w:val="262626"/>
          <w:spacing w:val="0"/>
          <w:sz w:val="24"/>
          <w:szCs w:val="24"/>
          <w:shd w:val="clear" w:fill="FFFFFF"/>
        </w:rPr>
        <w:t>Life Sciences, 245</w:t>
      </w:r>
      <w:r>
        <w:rPr>
          <w:rFonts w:hint="default" w:ascii="Times New Roman" w:hAnsi="Times New Roman" w:eastAsia="Tahoma" w:cs="Times New Roman"/>
          <w:i w:val="0"/>
          <w:iCs w:val="0"/>
          <w:caps w:val="0"/>
          <w:color w:val="262626"/>
          <w:spacing w:val="0"/>
          <w:sz w:val="24"/>
          <w:szCs w:val="24"/>
          <w:shd w:val="clear" w:fill="FFFFFF"/>
        </w:rPr>
        <w:t xml:space="preserve">, 117337.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"https://doi.org/10.1016/j.lfs.2020.117337"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https://doi.org/10.1016/j.lfs.2020.117337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5C059FA">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Keshavarzi, M., Khoshnoud, M. J., Ghaffarian Bahraman, A., &amp; Mohammadi-Bardbori, A. (2020). An endogenous ligand of aryl hydrocarbon receptor 6-formylindolo[3,2-b] carbazole (FICZ) is a signaling molecule in neurogenesis of adult hippocampal neurons. </w:t>
      </w:r>
      <w:r>
        <w:rPr>
          <w:rStyle w:val="11"/>
          <w:rFonts w:hint="default" w:ascii="Times New Roman" w:hAnsi="Times New Roman" w:eastAsia="Tahoma" w:cs="Times New Roman"/>
          <w:i w:val="0"/>
          <w:iCs w:val="0"/>
          <w:caps w:val="0"/>
          <w:color w:val="262626"/>
          <w:spacing w:val="0"/>
          <w:sz w:val="24"/>
          <w:szCs w:val="24"/>
          <w:shd w:val="clear" w:fill="FFFFFF"/>
        </w:rPr>
        <w:t>Journal of Molecular Neuroscience, 70</w:t>
      </w:r>
      <w:r>
        <w:rPr>
          <w:rFonts w:hint="default" w:ascii="Times New Roman" w:hAnsi="Times New Roman" w:eastAsia="Tahoma" w:cs="Times New Roman"/>
          <w:i w:val="0"/>
          <w:iCs w:val="0"/>
          <w:caps w:val="0"/>
          <w:color w:val="262626"/>
          <w:spacing w:val="0"/>
          <w:sz w:val="24"/>
          <w:szCs w:val="24"/>
          <w:shd w:val="clear" w:fill="FFFFFF"/>
        </w:rPr>
        <w:t xml:space="preserve">, 806-817.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"https://doi.org/10.1007/s12031-020-01490-2"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https://doi.org/10.1007/s12031-020-01490-2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4508D64D">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Khodak, O. L., Bilas, V. R., &amp; Nazarenko, N. K. (2006). Variants of immunotropic and clinical effects of balneotherapy at the Truskavets' Spa in people after radical treatment of oncopathology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4</w:t>
      </w:r>
      <w:r>
        <w:rPr>
          <w:rFonts w:hint="default" w:ascii="Times New Roman" w:hAnsi="Times New Roman" w:eastAsia="Tahoma" w:cs="Times New Roman"/>
          <w:i w:val="0"/>
          <w:iCs w:val="0"/>
          <w:caps w:val="0"/>
          <w:color w:val="262626"/>
          <w:spacing w:val="0"/>
          <w:sz w:val="24"/>
          <w:szCs w:val="24"/>
          <w:shd w:val="clear" w:fill="FFFFFF"/>
        </w:rPr>
        <w:t>(3), 9-32.</w:t>
      </w:r>
    </w:p>
    <w:p w14:paraId="3C31DC8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Khodak, O. L., &amp; Bilas, V. R. (2008). The effect of Naftussya mineral water on the body's nonspecific resistance to neoplastic processes [in Ukrainian]. </w:t>
      </w:r>
      <w:r>
        <w:rPr>
          <w:rStyle w:val="11"/>
          <w:rFonts w:hint="default" w:ascii="Times New Roman" w:hAnsi="Times New Roman" w:eastAsia="Tahoma" w:cs="Times New Roman"/>
          <w:i w:val="0"/>
          <w:iCs w:val="0"/>
          <w:caps w:val="0"/>
          <w:color w:val="262626"/>
          <w:spacing w:val="0"/>
          <w:sz w:val="24"/>
          <w:szCs w:val="24"/>
          <w:shd w:val="clear" w:fill="FFFFFF"/>
        </w:rPr>
        <w:t>Medical Hydrology and Rehabilitation, 6</w:t>
      </w:r>
      <w:r>
        <w:rPr>
          <w:rFonts w:hint="default" w:ascii="Times New Roman" w:hAnsi="Times New Roman" w:eastAsia="Tahoma" w:cs="Times New Roman"/>
          <w:i w:val="0"/>
          <w:iCs w:val="0"/>
          <w:caps w:val="0"/>
          <w:color w:val="262626"/>
          <w:spacing w:val="0"/>
          <w:sz w:val="24"/>
          <w:szCs w:val="24"/>
          <w:shd w:val="clear" w:fill="FFFFFF"/>
        </w:rPr>
        <w:t>(1), 79-84.</w:t>
      </w:r>
    </w:p>
    <w:p w14:paraId="5B3DF18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Kimura, E., &amp; Tohyama, C. (2017). Embryonic and postnatal expression of aryl hydrocarbon receptor mRNA in mouse brain. </w:t>
      </w:r>
      <w:r>
        <w:rPr>
          <w:rStyle w:val="11"/>
          <w:rFonts w:hint="default" w:ascii="Times New Roman" w:hAnsi="Times New Roman" w:eastAsia="Tahoma" w:cs="Times New Roman"/>
          <w:i w:val="0"/>
          <w:iCs w:val="0"/>
          <w:caps w:val="0"/>
          <w:color w:val="262626"/>
          <w:spacing w:val="0"/>
          <w:sz w:val="24"/>
          <w:szCs w:val="24"/>
          <w:shd w:val="clear" w:fill="FFFFFF"/>
        </w:rPr>
        <w:t>Frontiers in Neuroanatomy, 11</w:t>
      </w:r>
      <w:r>
        <w:rPr>
          <w:rFonts w:hint="default" w:ascii="Times New Roman" w:hAnsi="Times New Roman" w:eastAsia="Tahoma" w:cs="Times New Roman"/>
          <w:i w:val="0"/>
          <w:iCs w:val="0"/>
          <w:caps w:val="0"/>
          <w:color w:val="262626"/>
          <w:spacing w:val="0"/>
          <w:sz w:val="24"/>
          <w:szCs w:val="24"/>
          <w:shd w:val="clear" w:fill="FFFFFF"/>
        </w:rPr>
        <w:t xml:space="preserve">, 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"https://doi.org/10.3389/fnana.2017.00004"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https://doi.org/10.3389/fnana.2017.00004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086A70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Klecka, W. R. (1989). Discriminant analysis [trans. from English in Russian] (Seventh Printing, 1986). In </w:t>
      </w:r>
      <w:r>
        <w:rPr>
          <w:rStyle w:val="11"/>
          <w:rFonts w:hint="default" w:ascii="Times New Roman" w:hAnsi="Times New Roman" w:eastAsia="Tahoma" w:cs="Times New Roman"/>
          <w:i w:val="0"/>
          <w:iCs w:val="0"/>
          <w:caps w:val="0"/>
          <w:color w:val="262626"/>
          <w:spacing w:val="0"/>
          <w:sz w:val="24"/>
          <w:szCs w:val="24"/>
          <w:shd w:val="clear" w:fill="FFFFFF"/>
        </w:rPr>
        <w:t>Factor, discriminant and cluster analysis</w:t>
      </w:r>
      <w:r>
        <w:rPr>
          <w:rFonts w:hint="default" w:ascii="Times New Roman" w:hAnsi="Times New Roman" w:eastAsia="Tahoma" w:cs="Times New Roman"/>
          <w:i w:val="0"/>
          <w:iCs w:val="0"/>
          <w:caps w:val="0"/>
          <w:color w:val="262626"/>
          <w:spacing w:val="0"/>
          <w:sz w:val="24"/>
          <w:szCs w:val="24"/>
          <w:shd w:val="clear" w:fill="FFFFFF"/>
        </w:rPr>
        <w:t xml:space="preserve"> (pp. 78-138). Moskwa: Finansy i Statistika.</w:t>
      </w:r>
    </w:p>
    <w:p w14:paraId="25304A8D">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Korda, M. M., Fihura, O. A., Melnyk, O. I., Klishch, I. M., Yanchij, R. I., Zukow, W., Ruzhylo, S. V., Popovych, D. V., &amp; Popovych, I. L. (2024). </w:t>
      </w:r>
      <w:r>
        <w:rPr>
          <w:rStyle w:val="11"/>
          <w:rFonts w:hint="default" w:ascii="Times New Roman" w:hAnsi="Times New Roman" w:eastAsia="Tahoma" w:cs="Times New Roman"/>
          <w:i w:val="0"/>
          <w:iCs w:val="0"/>
          <w:caps w:val="0"/>
          <w:color w:val="262626"/>
          <w:spacing w:val="0"/>
          <w:sz w:val="24"/>
          <w:szCs w:val="24"/>
          <w:shd w:val="clear" w:fill="FFFFFF"/>
        </w:rPr>
        <w:t>Ukrainian phytocomposition "Balm Truskavets'", metabolism, physical working capacity and neuro-endocrine-immune complex</w:t>
      </w:r>
      <w:r>
        <w:rPr>
          <w:rFonts w:hint="default" w:ascii="Times New Roman" w:hAnsi="Times New Roman" w:eastAsia="Tahoma" w:cs="Times New Roman"/>
          <w:i w:val="0"/>
          <w:iCs w:val="0"/>
          <w:caps w:val="0"/>
          <w:color w:val="262626"/>
          <w:spacing w:val="0"/>
          <w:sz w:val="24"/>
          <w:szCs w:val="24"/>
          <w:shd w:val="clear" w:fill="FFFFFF"/>
        </w:rPr>
        <w:t xml:space="preserve">. Lviv: Svit.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"http://dx.doi.org/10.5281/zenodo.14640273"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http://dx.doi.org/10.5281/zenodo.14640273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58D82E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Kostyuk, P. G., Popovych, I. L., &amp; Іvassivka, S. V. (Eds.). (2006). </w:t>
      </w:r>
      <w:r>
        <w:rPr>
          <w:rStyle w:val="11"/>
          <w:rFonts w:hint="default" w:ascii="Times New Roman" w:hAnsi="Times New Roman" w:eastAsia="Tahoma" w:cs="Times New Roman"/>
          <w:i w:val="0"/>
          <w:iCs w:val="0"/>
          <w:caps w:val="0"/>
          <w:color w:val="262626"/>
          <w:spacing w:val="0"/>
          <w:sz w:val="24"/>
          <w:szCs w:val="24"/>
          <w:shd w:val="clear" w:fill="FFFFFF"/>
        </w:rPr>
        <w:t>Chornobyl', adaptive and defensive systems, rehabilitation</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348.</w:t>
      </w:r>
    </w:p>
    <w:p w14:paraId="2085242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Kou, Z., &amp; Dai, W. (2021). Aryl hydrocarbon receptor: Its roles in physiology. </w:t>
      </w:r>
      <w:r>
        <w:rPr>
          <w:rStyle w:val="11"/>
          <w:rFonts w:hint="default" w:ascii="Times New Roman" w:hAnsi="Times New Roman" w:eastAsia="Tahoma" w:cs="Times New Roman"/>
          <w:i w:val="0"/>
          <w:iCs w:val="0"/>
          <w:caps w:val="0"/>
          <w:color w:val="262626"/>
          <w:spacing w:val="0"/>
          <w:sz w:val="24"/>
          <w:szCs w:val="24"/>
          <w:shd w:val="clear" w:fill="FFFFFF"/>
        </w:rPr>
        <w:t>Biochemical Pharmacology, 185</w:t>
      </w:r>
      <w:r>
        <w:rPr>
          <w:rFonts w:hint="default" w:ascii="Times New Roman" w:hAnsi="Times New Roman" w:eastAsia="Tahoma" w:cs="Times New Roman"/>
          <w:i w:val="0"/>
          <w:iCs w:val="0"/>
          <w:caps w:val="0"/>
          <w:color w:val="262626"/>
          <w:spacing w:val="0"/>
          <w:sz w:val="24"/>
          <w:szCs w:val="24"/>
          <w:shd w:val="clear" w:fill="FFFFFF"/>
        </w:rPr>
        <w:t xml:space="preserve">, 114428.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"https://doi.org/10.1016/j.bcp.2021.114428"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https://doi.org/10.1016/j.bcp.2021.114428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31E049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Kozyavkina, O. V., Kozyavkina, N. V., Gozhenko, O. A., Gozhenko, A. I., Barylyak, L. G., &amp; Popovych, I. L. (2015). </w:t>
      </w:r>
      <w:r>
        <w:rPr>
          <w:rStyle w:val="11"/>
          <w:rFonts w:hint="default" w:ascii="Times New Roman" w:hAnsi="Times New Roman" w:eastAsia="Tahoma" w:cs="Times New Roman"/>
          <w:i w:val="0"/>
          <w:iCs w:val="0"/>
          <w:caps w:val="0"/>
          <w:color w:val="262626"/>
          <w:spacing w:val="0"/>
          <w:sz w:val="24"/>
          <w:szCs w:val="24"/>
          <w:shd w:val="clear" w:fill="FFFFFF"/>
        </w:rPr>
        <w:t>Bioactive water Naftussya and neuroendocrine-immune complex</w:t>
      </w:r>
      <w:r>
        <w:rPr>
          <w:rFonts w:hint="default" w:ascii="Times New Roman" w:hAnsi="Times New Roman" w:eastAsia="Tahoma" w:cs="Times New Roman"/>
          <w:i w:val="0"/>
          <w:iCs w:val="0"/>
          <w:caps w:val="0"/>
          <w:color w:val="262626"/>
          <w:spacing w:val="0"/>
          <w:sz w:val="24"/>
          <w:szCs w:val="24"/>
          <w:shd w:val="clear" w:fill="FFFFFF"/>
        </w:rPr>
        <w:t xml:space="preserve"> [in Ukrainian]. Kyїv: UNESCO-SOCIO.</w:t>
      </w:r>
      <w:r>
        <w:rPr>
          <w:rFonts w:hint="default" w:ascii="Times New Roman" w:hAnsi="Times New Roman" w:eastAsia="Tahoma" w:cs="Times New Roman"/>
          <w:i w:val="0"/>
          <w:iCs w:val="0"/>
          <w:caps w:val="0"/>
          <w:color w:val="262626"/>
          <w:spacing w:val="0"/>
          <w:sz w:val="24"/>
          <w:szCs w:val="24"/>
          <w:shd w:val="clear" w:fill="FFFFFF"/>
          <w:lang w:val="pl-PL"/>
        </w:rPr>
        <w:t xml:space="preserve"> 349.</w:t>
      </w:r>
    </w:p>
    <w:p w14:paraId="38EE116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Kumar, P., Banik, S. P., Goel, A., Chakraborty, S., Bagchi, M., &amp; Bagchi, D. (2023). Chemical, microbial and safety profiling of a standardized Withania somnifera (Ashwagandha) extract and Withaferin A, a potent novel phytotherapeutic of the millennium. </w:t>
      </w:r>
      <w:r>
        <w:rPr>
          <w:rStyle w:val="11"/>
          <w:rFonts w:hint="default" w:ascii="Times New Roman" w:hAnsi="Times New Roman" w:eastAsia="Tahoma" w:cs="Times New Roman"/>
          <w:i w:val="0"/>
          <w:iCs w:val="0"/>
          <w:caps w:val="0"/>
          <w:color w:val="262626"/>
          <w:spacing w:val="0"/>
          <w:sz w:val="24"/>
          <w:szCs w:val="24"/>
          <w:shd w:val="clear" w:fill="FFFFFF"/>
        </w:rPr>
        <w:t>Functional Foods in Health and Disease, 13</w:t>
      </w:r>
      <w:r>
        <w:rPr>
          <w:rFonts w:hint="default" w:ascii="Times New Roman" w:hAnsi="Times New Roman" w:eastAsia="Tahoma" w:cs="Times New Roman"/>
          <w:i w:val="0"/>
          <w:iCs w:val="0"/>
          <w:caps w:val="0"/>
          <w:color w:val="262626"/>
          <w:spacing w:val="0"/>
          <w:sz w:val="24"/>
          <w:szCs w:val="24"/>
          <w:shd w:val="clear" w:fill="FFFFFF"/>
        </w:rPr>
        <w:t xml:space="preserve">(2), 36-51.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"https://doi.org/10.31989/ffhd.v13i2.1020"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https://doi.org/10.31989/ffhd.v13i2.1020</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296523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Lapovets, L., &amp; Lutsyk, B. (2004). </w:t>
      </w:r>
      <w:r>
        <w:rPr>
          <w:rStyle w:val="11"/>
          <w:rFonts w:hint="default" w:ascii="Times New Roman" w:hAnsi="Times New Roman" w:eastAsia="Tahoma" w:cs="Times New Roman"/>
          <w:i w:val="0"/>
          <w:iCs w:val="0"/>
          <w:caps w:val="0"/>
          <w:color w:val="262626"/>
          <w:spacing w:val="0"/>
          <w:sz w:val="24"/>
          <w:szCs w:val="24"/>
          <w:shd w:val="clear" w:fill="FFFFFF"/>
        </w:rPr>
        <w:t>Handbook of laboratory immunology</w:t>
      </w:r>
      <w:r>
        <w:rPr>
          <w:rFonts w:hint="default" w:ascii="Times New Roman" w:hAnsi="Times New Roman" w:eastAsia="Tahoma" w:cs="Times New Roman"/>
          <w:i w:val="0"/>
          <w:iCs w:val="0"/>
          <w:caps w:val="0"/>
          <w:color w:val="262626"/>
          <w:spacing w:val="0"/>
          <w:sz w:val="24"/>
          <w:szCs w:val="24"/>
          <w:shd w:val="clear" w:fill="FFFFFF"/>
        </w:rPr>
        <w:t xml:space="preserve"> [in Ukrainian]. Lviv.</w:t>
      </w:r>
      <w:r>
        <w:rPr>
          <w:rFonts w:hint="default" w:ascii="Times New Roman" w:hAnsi="Times New Roman" w:eastAsia="Tahoma" w:cs="Times New Roman"/>
          <w:i w:val="0"/>
          <w:iCs w:val="0"/>
          <w:caps w:val="0"/>
          <w:color w:val="262626"/>
          <w:spacing w:val="0"/>
          <w:sz w:val="24"/>
          <w:szCs w:val="24"/>
          <w:shd w:val="clear" w:fill="FFFFFF"/>
          <w:lang w:val="pl-PL"/>
        </w:rPr>
        <w:t xml:space="preserve"> 173.</w:t>
      </w:r>
    </w:p>
    <w:p w14:paraId="2784845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Li, L. A., &amp; Wang, P. W. (2005). PCB126 induces differential changes in androgen, cortisol, and aldosterone biosynthesis in human adrenocortical H295R cells. </w:t>
      </w:r>
      <w:r>
        <w:rPr>
          <w:rStyle w:val="11"/>
          <w:rFonts w:hint="default" w:ascii="Times New Roman" w:hAnsi="Times New Roman" w:eastAsia="Tahoma" w:cs="Times New Roman"/>
          <w:i w:val="0"/>
          <w:iCs w:val="0"/>
          <w:caps w:val="0"/>
          <w:color w:val="262626"/>
          <w:spacing w:val="0"/>
          <w:sz w:val="24"/>
          <w:szCs w:val="24"/>
          <w:shd w:val="clear" w:fill="FFFFFF"/>
        </w:rPr>
        <w:t>Toxicological Sciences, 85</w:t>
      </w:r>
      <w:r>
        <w:rPr>
          <w:rFonts w:hint="default" w:ascii="Times New Roman" w:hAnsi="Times New Roman" w:eastAsia="Tahoma" w:cs="Times New Roman"/>
          <w:i w:val="0"/>
          <w:iCs w:val="0"/>
          <w:caps w:val="0"/>
          <w:color w:val="262626"/>
          <w:spacing w:val="0"/>
          <w:sz w:val="24"/>
          <w:szCs w:val="24"/>
          <w:shd w:val="clear" w:fill="FFFFFF"/>
        </w:rPr>
        <w:t xml:space="preserve">(1), 530-540.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"https://doi.org/10.1093/toxsci/kfi130"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https://doi.org/10.1093/toxsci/kfi130</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16960C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Lu, S., Wu, D., Sun, G., Geng, F., Shen, Y., Tan, J., Sun, X., &amp; Ding, S. (2019). Gastroprotective effects of Kangfuxin against water-immersion and restraint stress-induced gastric ulcer in rats: Roles of antioxidation, anti-inflammation, and pro-survival. </w:t>
      </w:r>
      <w:r>
        <w:rPr>
          <w:rStyle w:val="11"/>
          <w:rFonts w:hint="default" w:ascii="Times New Roman" w:hAnsi="Times New Roman" w:eastAsia="Tahoma" w:cs="Times New Roman"/>
          <w:i w:val="0"/>
          <w:iCs w:val="0"/>
          <w:caps w:val="0"/>
          <w:color w:val="262626"/>
          <w:spacing w:val="0"/>
          <w:sz w:val="24"/>
          <w:szCs w:val="24"/>
          <w:shd w:val="clear" w:fill="FFFFFF"/>
        </w:rPr>
        <w:t>Pharmaceutical Biology, 57</w:t>
      </w:r>
      <w:r>
        <w:rPr>
          <w:rFonts w:hint="default" w:ascii="Times New Roman" w:hAnsi="Times New Roman" w:eastAsia="Tahoma" w:cs="Times New Roman"/>
          <w:i w:val="0"/>
          <w:iCs w:val="0"/>
          <w:caps w:val="0"/>
          <w:color w:val="262626"/>
          <w:spacing w:val="0"/>
          <w:sz w:val="24"/>
          <w:szCs w:val="24"/>
          <w:shd w:val="clear" w:fill="FFFFFF"/>
        </w:rPr>
        <w:t xml:space="preserve">(1), 770-777.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"https://doi.org/10.1080/13880209.2019.1679814"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https://doi.org/10.1080/13880209.2019.1679814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26CFFF8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Lupandin, A. V. (1989). On the role of catecholaminergic synapses in the mechanism of adaptation formation with the participation of polyphenolic adaptogens [in Russian]. </w:t>
      </w:r>
      <w:r>
        <w:rPr>
          <w:rStyle w:val="11"/>
          <w:rFonts w:hint="default" w:ascii="Times New Roman" w:hAnsi="Times New Roman" w:eastAsia="Tahoma" w:cs="Times New Roman"/>
          <w:i w:val="0"/>
          <w:iCs w:val="0"/>
          <w:caps w:val="0"/>
          <w:color w:val="262626"/>
          <w:spacing w:val="0"/>
          <w:sz w:val="24"/>
          <w:szCs w:val="24"/>
          <w:shd w:val="clear" w:fill="FFFFFF"/>
        </w:rPr>
        <w:t>Fiziologicheskii Zhurnal SSSR, 75</w:t>
      </w:r>
      <w:r>
        <w:rPr>
          <w:rFonts w:hint="default" w:ascii="Times New Roman" w:hAnsi="Times New Roman" w:eastAsia="Tahoma" w:cs="Times New Roman"/>
          <w:i w:val="0"/>
          <w:iCs w:val="0"/>
          <w:caps w:val="0"/>
          <w:color w:val="262626"/>
          <w:spacing w:val="0"/>
          <w:sz w:val="24"/>
          <w:szCs w:val="24"/>
          <w:shd w:val="clear" w:fill="FFFFFF"/>
        </w:rPr>
        <w:t>(8), 1082-1088.</w:t>
      </w:r>
    </w:p>
    <w:p w14:paraId="4D017CD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Lyubitelev, A., &amp; Studitsky, V. (2023). Inhibition of cancer development by natural plant polyphenols: Molecular mechanisms. </w:t>
      </w:r>
      <w:r>
        <w:rPr>
          <w:rStyle w:val="11"/>
          <w:rFonts w:hint="default" w:ascii="Times New Roman" w:hAnsi="Times New Roman" w:eastAsia="Tahoma" w:cs="Times New Roman"/>
          <w:i w:val="0"/>
          <w:iCs w:val="0"/>
          <w:caps w:val="0"/>
          <w:color w:val="262626"/>
          <w:spacing w:val="0"/>
          <w:sz w:val="24"/>
          <w:szCs w:val="24"/>
          <w:shd w:val="clear" w:fill="FFFFFF"/>
        </w:rPr>
        <w:t>International Journal of Molecular Sciences, 24</w:t>
      </w:r>
      <w:r>
        <w:rPr>
          <w:rFonts w:hint="default" w:ascii="Times New Roman" w:hAnsi="Times New Roman" w:eastAsia="Tahoma" w:cs="Times New Roman"/>
          <w:i w:val="0"/>
          <w:iCs w:val="0"/>
          <w:caps w:val="0"/>
          <w:color w:val="262626"/>
          <w:spacing w:val="0"/>
          <w:sz w:val="24"/>
          <w:szCs w:val="24"/>
          <w:shd w:val="clear" w:fill="FFFFFF"/>
        </w:rPr>
        <w:t xml:space="preserve">(13), 10663.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"https://doi.org/10.3390/ijms241310663"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https://doi.org/10.3390/ijms241310663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FE9E22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Meerson, F. Z. (1991). Protective effects of adaptation and some prospects for the development of adaptive medicine [in Russian]. </w:t>
      </w:r>
      <w:r>
        <w:rPr>
          <w:rStyle w:val="11"/>
          <w:rFonts w:hint="default" w:ascii="Times New Roman" w:hAnsi="Times New Roman" w:eastAsia="Tahoma" w:cs="Times New Roman"/>
          <w:i w:val="0"/>
          <w:iCs w:val="0"/>
          <w:caps w:val="0"/>
          <w:color w:val="262626"/>
          <w:spacing w:val="0"/>
          <w:sz w:val="24"/>
          <w:szCs w:val="24"/>
          <w:shd w:val="clear" w:fill="FFFFFF"/>
        </w:rPr>
        <w:t>Uspekhi Fiziologicheskikh Nauk, 22</w:t>
      </w:r>
      <w:r>
        <w:rPr>
          <w:rFonts w:hint="default" w:ascii="Times New Roman" w:hAnsi="Times New Roman" w:eastAsia="Tahoma" w:cs="Times New Roman"/>
          <w:i w:val="0"/>
          <w:iCs w:val="0"/>
          <w:caps w:val="0"/>
          <w:color w:val="262626"/>
          <w:spacing w:val="0"/>
          <w:sz w:val="24"/>
          <w:szCs w:val="24"/>
          <w:shd w:val="clear" w:fill="FFFFFF"/>
        </w:rPr>
        <w:t>(2), 52-89.</w:t>
      </w:r>
    </w:p>
    <w:p w14:paraId="6EC6EBD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Moreno-Nieves, U. Y., Mundy, D. C., Shin, J. H., Tam, K., &amp; Sunwoo, J. B. (2018). The aryl hydrocarbon receptor modulates the function of human CD56bright NK cells. </w:t>
      </w:r>
      <w:r>
        <w:rPr>
          <w:rStyle w:val="11"/>
          <w:rFonts w:hint="default" w:ascii="Times New Roman" w:hAnsi="Times New Roman" w:eastAsia="Tahoma" w:cs="Times New Roman"/>
          <w:i w:val="0"/>
          <w:iCs w:val="0"/>
          <w:caps w:val="0"/>
          <w:color w:val="262626"/>
          <w:spacing w:val="0"/>
          <w:sz w:val="24"/>
          <w:szCs w:val="24"/>
          <w:shd w:val="clear" w:fill="FFFFFF"/>
        </w:rPr>
        <w:t>European Journal of Immunology, 48</w:t>
      </w:r>
      <w:r>
        <w:rPr>
          <w:rFonts w:hint="default" w:ascii="Times New Roman" w:hAnsi="Times New Roman" w:eastAsia="Tahoma" w:cs="Times New Roman"/>
          <w:i w:val="0"/>
          <w:iCs w:val="0"/>
          <w:caps w:val="0"/>
          <w:color w:val="262626"/>
          <w:spacing w:val="0"/>
          <w:sz w:val="24"/>
          <w:szCs w:val="24"/>
          <w:shd w:val="clear" w:fill="FFFFFF"/>
        </w:rPr>
        <w:t xml:space="preserve">, 771-776.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"https://doi.org/10.1002/eji.201747289"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https://doi.org/10.1002/eji.201747289</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AE43EA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Murray, I. A., &amp; Perdew, G. H. (2020). How Ah receptor ligand specificity became important in understanding its physiological function. </w:t>
      </w:r>
      <w:r>
        <w:rPr>
          <w:rStyle w:val="11"/>
          <w:rFonts w:hint="default" w:ascii="Times New Roman" w:hAnsi="Times New Roman" w:eastAsia="Tahoma" w:cs="Times New Roman"/>
          <w:i w:val="0"/>
          <w:iCs w:val="0"/>
          <w:caps w:val="0"/>
          <w:color w:val="262626"/>
          <w:spacing w:val="0"/>
          <w:sz w:val="24"/>
          <w:szCs w:val="24"/>
          <w:shd w:val="clear" w:fill="FFFFFF"/>
        </w:rPr>
        <w:t>International Journal of Molecular Sciences, 21</w:t>
      </w:r>
      <w:r>
        <w:rPr>
          <w:rFonts w:hint="default" w:ascii="Times New Roman" w:hAnsi="Times New Roman" w:eastAsia="Tahoma" w:cs="Times New Roman"/>
          <w:i w:val="0"/>
          <w:iCs w:val="0"/>
          <w:caps w:val="0"/>
          <w:color w:val="262626"/>
          <w:spacing w:val="0"/>
          <w:sz w:val="24"/>
          <w:szCs w:val="24"/>
          <w:shd w:val="clear" w:fill="FFFFFF"/>
        </w:rPr>
        <w:t xml:space="preserve">(24), 9614.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"https://doi.org/10.3390/ijms21249614"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https://doi.org/10.3390/ijms21249614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F2227D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Nebert, D. W., &amp; Bausserman, L. L. (1970). Genetic differences in the extent of aryl hydrocarbon hydroxylase induction in mouse fetal cell cultures. </w:t>
      </w:r>
      <w:r>
        <w:rPr>
          <w:rStyle w:val="11"/>
          <w:rFonts w:hint="default" w:ascii="Times New Roman" w:hAnsi="Times New Roman" w:eastAsia="Tahoma" w:cs="Times New Roman"/>
          <w:i w:val="0"/>
          <w:iCs w:val="0"/>
          <w:caps w:val="0"/>
          <w:color w:val="262626"/>
          <w:spacing w:val="0"/>
          <w:sz w:val="24"/>
          <w:szCs w:val="24"/>
          <w:shd w:val="clear" w:fill="FFFFFF"/>
        </w:rPr>
        <w:t>Journal of Biological Chemistry, 245</w:t>
      </w:r>
      <w:r>
        <w:rPr>
          <w:rFonts w:hint="default" w:ascii="Times New Roman" w:hAnsi="Times New Roman" w:eastAsia="Tahoma" w:cs="Times New Roman"/>
          <w:i w:val="0"/>
          <w:iCs w:val="0"/>
          <w:caps w:val="0"/>
          <w:color w:val="262626"/>
          <w:spacing w:val="0"/>
          <w:sz w:val="24"/>
          <w:szCs w:val="24"/>
          <w:shd w:val="clear" w:fill="FFFFFF"/>
        </w:rPr>
        <w:t>(23), 6373-6382.</w:t>
      </w:r>
    </w:p>
    <w:p w14:paraId="332AB49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Oh, C. S., Kim, H. J., Jeong, H. W., Park, J. H., &amp; Park, W. (2023). Immunomodulatory effects of Korean Red Ginseng (Panax ginseng) and its active ingredients. </w:t>
      </w:r>
      <w:r>
        <w:rPr>
          <w:rStyle w:val="11"/>
          <w:rFonts w:hint="default" w:ascii="Times New Roman" w:hAnsi="Times New Roman" w:eastAsia="Tahoma" w:cs="Times New Roman"/>
          <w:i w:val="0"/>
          <w:iCs w:val="0"/>
          <w:caps w:val="0"/>
          <w:color w:val="262626"/>
          <w:spacing w:val="0"/>
          <w:sz w:val="24"/>
          <w:szCs w:val="24"/>
          <w:shd w:val="clear" w:fill="FFFFFF"/>
        </w:rPr>
        <w:t>Hantopic, 5</w:t>
      </w:r>
      <w:r>
        <w:rPr>
          <w:rFonts w:hint="default" w:ascii="Times New Roman" w:hAnsi="Times New Roman" w:eastAsia="Tahoma" w:cs="Times New Roman"/>
          <w:i w:val="0"/>
          <w:iCs w:val="0"/>
          <w:caps w:val="0"/>
          <w:color w:val="262626"/>
          <w:spacing w:val="0"/>
          <w:sz w:val="24"/>
          <w:szCs w:val="24"/>
          <w:shd w:val="clear" w:fill="FFFFFF"/>
        </w:rPr>
        <w:t xml:space="preserve">(2), 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"https://doi.org/10.23146/HAN.2023.4.01"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https://doi.org/10.23146/HAN.2023.4.01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A4F4A2A">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Ojo, E. S., &amp; Tischkau, S. A. (2021). The role of AhR in the hallmarks of brain aging: Friend and foe. </w:t>
      </w:r>
      <w:r>
        <w:rPr>
          <w:rStyle w:val="11"/>
          <w:rFonts w:hint="default" w:ascii="Times New Roman" w:hAnsi="Times New Roman" w:eastAsia="Tahoma" w:cs="Times New Roman"/>
          <w:i w:val="0"/>
          <w:iCs w:val="0"/>
          <w:caps w:val="0"/>
          <w:color w:val="262626"/>
          <w:spacing w:val="0"/>
          <w:sz w:val="24"/>
          <w:szCs w:val="24"/>
          <w:shd w:val="clear" w:fill="FFFFFF"/>
        </w:rPr>
        <w:t>Cells, 10</w:t>
      </w:r>
      <w:r>
        <w:rPr>
          <w:rFonts w:hint="default" w:ascii="Times New Roman" w:hAnsi="Times New Roman" w:eastAsia="Tahoma" w:cs="Times New Roman"/>
          <w:i w:val="0"/>
          <w:iCs w:val="0"/>
          <w:caps w:val="0"/>
          <w:color w:val="262626"/>
          <w:spacing w:val="0"/>
          <w:sz w:val="24"/>
          <w:szCs w:val="24"/>
          <w:shd w:val="clear" w:fill="FFFFFF"/>
        </w:rPr>
        <w:t xml:space="preserve">(10), 2729.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"https://doi.org/10.3390/cells10102729"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https://doi.org/10.3390/cells10102729</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8243FC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Panasyuk, Y. M., Levkut, L. H., Popovych, I. L., Alekseyev, O. I., Kovbasnyuk, M. M., &amp; Balanovskyi, V. P. (1994). Experimental study of adaptogenic properties of "Crimean" balm [in Ukrainian]. </w:t>
      </w:r>
      <w:r>
        <w:rPr>
          <w:rStyle w:val="11"/>
          <w:rFonts w:hint="default" w:ascii="Times New Roman" w:hAnsi="Times New Roman" w:eastAsia="Tahoma" w:cs="Times New Roman"/>
          <w:i w:val="0"/>
          <w:iCs w:val="0"/>
          <w:caps w:val="0"/>
          <w:color w:val="262626"/>
          <w:spacing w:val="0"/>
          <w:sz w:val="24"/>
          <w:szCs w:val="24"/>
          <w:shd w:val="clear" w:fill="FFFFFF"/>
        </w:rPr>
        <w:t>Fiziologichnyi Zhurnal, 40</w:t>
      </w:r>
      <w:r>
        <w:rPr>
          <w:rFonts w:hint="default" w:ascii="Times New Roman" w:hAnsi="Times New Roman" w:eastAsia="Tahoma" w:cs="Times New Roman"/>
          <w:i w:val="0"/>
          <w:iCs w:val="0"/>
          <w:caps w:val="0"/>
          <w:color w:val="262626"/>
          <w:spacing w:val="0"/>
          <w:sz w:val="24"/>
          <w:szCs w:val="24"/>
          <w:shd w:val="clear" w:fill="FFFFFF"/>
        </w:rPr>
        <w:t>(3-4), 25-30.</w:t>
      </w:r>
    </w:p>
    <w:p w14:paraId="25981C9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Panasyuk, Y. M., Levkut, L. G., Popovych, I. L., Shumakov, M. F., Sychova, A. O., Alekseyev, O. I., &amp; Bakova, M. M. (1996). </w:t>
      </w:r>
      <w:r>
        <w:rPr>
          <w:rStyle w:val="11"/>
          <w:rFonts w:hint="default" w:ascii="Times New Roman" w:hAnsi="Times New Roman" w:eastAsia="Tahoma" w:cs="Times New Roman"/>
          <w:i w:val="0"/>
          <w:iCs w:val="0"/>
          <w:caps w:val="0"/>
          <w:color w:val="262626"/>
          <w:spacing w:val="0"/>
          <w:sz w:val="24"/>
          <w:szCs w:val="24"/>
          <w:shd w:val="clear" w:fill="FFFFFF"/>
        </w:rPr>
        <w:t>Adaptogenic agent</w:t>
      </w:r>
      <w:r>
        <w:rPr>
          <w:rFonts w:hint="default" w:ascii="Times New Roman" w:hAnsi="Times New Roman" w:eastAsia="Tahoma" w:cs="Times New Roman"/>
          <w:i w:val="0"/>
          <w:iCs w:val="0"/>
          <w:caps w:val="0"/>
          <w:color w:val="262626"/>
          <w:spacing w:val="0"/>
          <w:sz w:val="24"/>
          <w:szCs w:val="24"/>
          <w:shd w:val="clear" w:fill="FFFFFF"/>
        </w:rPr>
        <w:t xml:space="preserve"> [in Ukrainian]. Ukraine Patent No. 10271. Bull № 4.</w:t>
      </w:r>
    </w:p>
    <w:p w14:paraId="0041E1D3">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(2023). Challenges in phytotherapy research. </w:t>
      </w:r>
      <w:r>
        <w:rPr>
          <w:rStyle w:val="11"/>
          <w:rFonts w:hint="default" w:ascii="Times New Roman" w:hAnsi="Times New Roman" w:eastAsia="Tahoma" w:cs="Times New Roman"/>
          <w:i w:val="0"/>
          <w:iCs w:val="0"/>
          <w:caps w:val="0"/>
          <w:color w:val="262626"/>
          <w:spacing w:val="0"/>
          <w:sz w:val="24"/>
          <w:szCs w:val="24"/>
          <w:shd w:val="clear" w:fill="FFFFFF"/>
        </w:rPr>
        <w:t>Frontiers in Pharmacology, 14</w:t>
      </w:r>
      <w:r>
        <w:rPr>
          <w:rFonts w:hint="default" w:ascii="Times New Roman" w:hAnsi="Times New Roman" w:eastAsia="Tahoma" w:cs="Times New Roman"/>
          <w:i w:val="0"/>
          <w:iCs w:val="0"/>
          <w:caps w:val="0"/>
          <w:color w:val="262626"/>
          <w:spacing w:val="0"/>
          <w:sz w:val="24"/>
          <w:szCs w:val="24"/>
          <w:shd w:val="clear" w:fill="FFFFFF"/>
        </w:rPr>
        <w:t xml:space="preserve">, 1199516.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"https://doi.org/10.3389/fphar.2023.1199516"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https://doi.org/10.3389/fphar.2023.1199516</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DD3721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&amp; Efferth, T. (2022). Network pharmacology of adaptogens in the assessment of their pleiotropic therapeutic activity. </w:t>
      </w:r>
      <w:r>
        <w:rPr>
          <w:rStyle w:val="11"/>
          <w:rFonts w:hint="default" w:ascii="Times New Roman" w:hAnsi="Times New Roman" w:eastAsia="Tahoma" w:cs="Times New Roman"/>
          <w:i w:val="0"/>
          <w:iCs w:val="0"/>
          <w:caps w:val="0"/>
          <w:color w:val="262626"/>
          <w:spacing w:val="0"/>
          <w:sz w:val="24"/>
          <w:szCs w:val="24"/>
          <w:shd w:val="clear" w:fill="FFFFFF"/>
        </w:rPr>
        <w:t>Pharmaceuticals, 15</w:t>
      </w:r>
      <w:r>
        <w:rPr>
          <w:rFonts w:hint="default" w:ascii="Times New Roman" w:hAnsi="Times New Roman" w:eastAsia="Tahoma" w:cs="Times New Roman"/>
          <w:i w:val="0"/>
          <w:iCs w:val="0"/>
          <w:caps w:val="0"/>
          <w:color w:val="262626"/>
          <w:spacing w:val="0"/>
          <w:sz w:val="24"/>
          <w:szCs w:val="24"/>
          <w:shd w:val="clear" w:fill="FFFFFF"/>
        </w:rPr>
        <w:t xml:space="preserve">(9), 1051.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"https://doi.org/10.3390/ph15091051"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https://doi.org/10.3390/ph15091051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42363D2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Seo, E. J., &amp; Efferth, T. (2018). Novel molecular mechanisms for the adaptogenic effects of herbal extracts on isolated brain cells using systems biology. </w:t>
      </w:r>
      <w:r>
        <w:rPr>
          <w:rStyle w:val="11"/>
          <w:rFonts w:hint="default" w:ascii="Times New Roman" w:hAnsi="Times New Roman" w:eastAsia="Tahoma" w:cs="Times New Roman"/>
          <w:i w:val="0"/>
          <w:iCs w:val="0"/>
          <w:caps w:val="0"/>
          <w:color w:val="262626"/>
          <w:spacing w:val="0"/>
          <w:sz w:val="24"/>
          <w:szCs w:val="24"/>
          <w:shd w:val="clear" w:fill="FFFFFF"/>
        </w:rPr>
        <w:t>Phytomedicine, 50</w:t>
      </w:r>
      <w:r>
        <w:rPr>
          <w:rFonts w:hint="default" w:ascii="Times New Roman" w:hAnsi="Times New Roman" w:eastAsia="Tahoma" w:cs="Times New Roman"/>
          <w:i w:val="0"/>
          <w:iCs w:val="0"/>
          <w:caps w:val="0"/>
          <w:color w:val="262626"/>
          <w:spacing w:val="0"/>
          <w:sz w:val="24"/>
          <w:szCs w:val="24"/>
          <w:shd w:val="clear" w:fill="FFFFFF"/>
        </w:rPr>
        <w:t xml:space="preserve">, 257-284.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"https://doi.org/10.1016/j.phymed.2018.09.204"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https://doi.org/10.1016/j.phymed.2018.09.204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F31A9F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Seo, E. J., &amp; Efferth, T. (2019). Effects of anti-inflammatory and adaptogenic herbal extracts on gene expression of eicosanoids signaling pathways in isolated brain cells. </w:t>
      </w:r>
      <w:r>
        <w:rPr>
          <w:rStyle w:val="11"/>
          <w:rFonts w:hint="default" w:ascii="Times New Roman" w:hAnsi="Times New Roman" w:eastAsia="Tahoma" w:cs="Times New Roman"/>
          <w:i w:val="0"/>
          <w:iCs w:val="0"/>
          <w:caps w:val="0"/>
          <w:color w:val="262626"/>
          <w:spacing w:val="0"/>
          <w:sz w:val="24"/>
          <w:szCs w:val="24"/>
          <w:shd w:val="clear" w:fill="FFFFFF"/>
        </w:rPr>
        <w:t>Phytomedicine, 60</w:t>
      </w:r>
      <w:r>
        <w:rPr>
          <w:rFonts w:hint="default" w:ascii="Times New Roman" w:hAnsi="Times New Roman" w:eastAsia="Tahoma" w:cs="Times New Roman"/>
          <w:i w:val="0"/>
          <w:iCs w:val="0"/>
          <w:caps w:val="0"/>
          <w:color w:val="262626"/>
          <w:spacing w:val="0"/>
          <w:sz w:val="24"/>
          <w:szCs w:val="24"/>
          <w:shd w:val="clear" w:fill="FFFFFF"/>
        </w:rPr>
        <w:t xml:space="preserve">, 152881.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"https://doi.org/10.1016/j.phymed.2019.152881"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https://doi.org/10.1016/j.phymed.2019.152881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1F73E4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&amp; Wikman, G. (2010). Effects of adaptogens on the central nervous system and the molecular mechanisms associated with their stress-protective activity. </w:t>
      </w:r>
      <w:r>
        <w:rPr>
          <w:rStyle w:val="11"/>
          <w:rFonts w:hint="default" w:ascii="Times New Roman" w:hAnsi="Times New Roman" w:eastAsia="Tahoma" w:cs="Times New Roman"/>
          <w:i w:val="0"/>
          <w:iCs w:val="0"/>
          <w:caps w:val="0"/>
          <w:color w:val="262626"/>
          <w:spacing w:val="0"/>
          <w:sz w:val="24"/>
          <w:szCs w:val="24"/>
          <w:shd w:val="clear" w:fill="FFFFFF"/>
        </w:rPr>
        <w:t>Pharmaceuticals, 3</w:t>
      </w:r>
      <w:r>
        <w:rPr>
          <w:rFonts w:hint="default" w:ascii="Times New Roman" w:hAnsi="Times New Roman" w:eastAsia="Tahoma" w:cs="Times New Roman"/>
          <w:i w:val="0"/>
          <w:iCs w:val="0"/>
          <w:caps w:val="0"/>
          <w:color w:val="262626"/>
          <w:spacing w:val="0"/>
          <w:sz w:val="24"/>
          <w:szCs w:val="24"/>
          <w:shd w:val="clear" w:fill="FFFFFF"/>
        </w:rPr>
        <w:t xml:space="preserve">(1), 188-224.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"https://doi.org/10.3390/ph3010188"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https://doi.org/10.3390/ph3010188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4432993D">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Panossian, A. G., Efferth, T., Shikov, A. N., Pozharitskaya, O. N., Kuchta, K., Mukherjee, P. K., Banerjee, S., Heinrich, M., Wu, W., Guo, D. A., &amp; Wagner, H. (2021). Evolution of the adaptogenic concept from traditional use to medical systems: Pharmacology of stress- and aging-related diseases. </w:t>
      </w:r>
      <w:r>
        <w:rPr>
          <w:rStyle w:val="11"/>
          <w:rFonts w:hint="default" w:ascii="Times New Roman" w:hAnsi="Times New Roman" w:eastAsia="Tahoma" w:cs="Times New Roman"/>
          <w:i w:val="0"/>
          <w:iCs w:val="0"/>
          <w:caps w:val="0"/>
          <w:color w:val="262626"/>
          <w:spacing w:val="0"/>
          <w:sz w:val="24"/>
          <w:szCs w:val="24"/>
          <w:shd w:val="clear" w:fill="FFFFFF"/>
        </w:rPr>
        <w:t>Medicinal Research Reviews, 41</w:t>
      </w:r>
      <w:r>
        <w:rPr>
          <w:rFonts w:hint="default" w:ascii="Times New Roman" w:hAnsi="Times New Roman" w:eastAsia="Tahoma" w:cs="Times New Roman"/>
          <w:i w:val="0"/>
          <w:iCs w:val="0"/>
          <w:caps w:val="0"/>
          <w:color w:val="262626"/>
          <w:spacing w:val="0"/>
          <w:sz w:val="24"/>
          <w:szCs w:val="24"/>
          <w:shd w:val="clear" w:fill="FFFFFF"/>
        </w:rPr>
        <w:t xml:space="preserve">(1), 630-703.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"https://doi.org/10.1002/med.21743"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https://doi.org/10.1002/med.21743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76B9D7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Phelan, D., Winter, G. M., Rogers, W. J., Lam, J. C., &amp; Denison, M. S. (1988). Activation of the Ah receptor signal transduction pathway by bilirubin and biliverdin. </w:t>
      </w:r>
      <w:r>
        <w:rPr>
          <w:rStyle w:val="11"/>
          <w:rFonts w:hint="default" w:ascii="Times New Roman" w:hAnsi="Times New Roman" w:eastAsia="Tahoma" w:cs="Times New Roman"/>
          <w:i w:val="0"/>
          <w:iCs w:val="0"/>
          <w:caps w:val="0"/>
          <w:color w:val="262626"/>
          <w:spacing w:val="0"/>
          <w:sz w:val="24"/>
          <w:szCs w:val="24"/>
          <w:shd w:val="clear" w:fill="FFFFFF"/>
        </w:rPr>
        <w:t>Archives of Biochemistry and Biophysics, 357</w:t>
      </w:r>
      <w:r>
        <w:rPr>
          <w:rFonts w:hint="default" w:ascii="Times New Roman" w:hAnsi="Times New Roman" w:eastAsia="Tahoma" w:cs="Times New Roman"/>
          <w:i w:val="0"/>
          <w:iCs w:val="0"/>
          <w:caps w:val="0"/>
          <w:color w:val="262626"/>
          <w:spacing w:val="0"/>
          <w:sz w:val="24"/>
          <w:szCs w:val="24"/>
          <w:shd w:val="clear" w:fill="FFFFFF"/>
        </w:rPr>
        <w:t xml:space="preserve">(1), 155-163.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"https://doi.org/10.1006/abbi.1998.0814"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https://doi.org/10.1006/abbi.1998.0814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A4404D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Poland, A., Glover, E., &amp; Kende, A. S. (1976). Stereospecific, high affinity binding of 2,3,7,8-tetrachlorodibenzo-p-dioxin by hepatic cytosol. Evidence that the binding species is receptor for induction of aryl hydrocarbon hydroxylase. </w:t>
      </w:r>
      <w:r>
        <w:rPr>
          <w:rStyle w:val="11"/>
          <w:rFonts w:hint="default" w:ascii="Times New Roman" w:hAnsi="Times New Roman" w:eastAsia="Tahoma" w:cs="Times New Roman"/>
          <w:i w:val="0"/>
          <w:iCs w:val="0"/>
          <w:caps w:val="0"/>
          <w:color w:val="262626"/>
          <w:spacing w:val="0"/>
          <w:sz w:val="24"/>
          <w:szCs w:val="24"/>
          <w:shd w:val="clear" w:fill="FFFFFF"/>
        </w:rPr>
        <w:t>Journal of Biological Chemistry, 251</w:t>
      </w:r>
      <w:r>
        <w:rPr>
          <w:rFonts w:hint="default" w:ascii="Times New Roman" w:hAnsi="Times New Roman" w:eastAsia="Tahoma" w:cs="Times New Roman"/>
          <w:i w:val="0"/>
          <w:iCs w:val="0"/>
          <w:caps w:val="0"/>
          <w:color w:val="262626"/>
          <w:spacing w:val="0"/>
          <w:sz w:val="24"/>
          <w:szCs w:val="24"/>
          <w:shd w:val="clear" w:fill="FFFFFF"/>
        </w:rPr>
        <w:t>(16), 4936-4946.</w:t>
      </w:r>
    </w:p>
    <w:p w14:paraId="1545623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Popadynets, O., Gozhenko, A., Badyuk, N., Popovych, I., Skaliy, A., Hagner-Derengowska, M., Napierata, M., Muszkieta, R., Sokołowski, D., Zukow, W., &amp; Rybałko, L. (2020). Interpersonal differences caused by adaptogen changes in entropies of EEG, HRV, immunocytogram, and leukocytogram. </w:t>
      </w:r>
      <w:r>
        <w:rPr>
          <w:rStyle w:val="11"/>
          <w:rFonts w:hint="default" w:ascii="Times New Roman" w:hAnsi="Times New Roman" w:eastAsia="Tahoma" w:cs="Times New Roman"/>
          <w:i w:val="0"/>
          <w:iCs w:val="0"/>
          <w:caps w:val="0"/>
          <w:color w:val="262626"/>
          <w:spacing w:val="0"/>
          <w:sz w:val="24"/>
          <w:szCs w:val="24"/>
          <w:shd w:val="clear" w:fill="FFFFFF"/>
        </w:rPr>
        <w:t>Journal of Physical Education and Sport, 20</w:t>
      </w:r>
      <w:r>
        <w:rPr>
          <w:rFonts w:hint="default" w:ascii="Times New Roman" w:hAnsi="Times New Roman" w:eastAsia="Tahoma" w:cs="Times New Roman"/>
          <w:i w:val="0"/>
          <w:iCs w:val="0"/>
          <w:caps w:val="0"/>
          <w:color w:val="262626"/>
          <w:spacing w:val="0"/>
          <w:sz w:val="24"/>
          <w:szCs w:val="24"/>
          <w:shd w:val="clear" w:fill="FFFFFF"/>
        </w:rPr>
        <w:t xml:space="preserve">(Suppl. 2), 982-999.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"https://doi.org/10.7752/jpes.2020.s2139"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https://doi.org/10.7752/jpes.2020.s2139</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76B0DD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A. I. (2018). Features of the immunotropic effects of partial components of the balneotherapeutic complex of spa Truskavets'.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8</w:t>
      </w:r>
      <w:r>
        <w:rPr>
          <w:rFonts w:hint="default" w:ascii="Times New Roman" w:hAnsi="Times New Roman" w:eastAsia="Tahoma" w:cs="Times New Roman"/>
          <w:i w:val="0"/>
          <w:iCs w:val="0"/>
          <w:caps w:val="0"/>
          <w:color w:val="262626"/>
          <w:spacing w:val="0"/>
          <w:sz w:val="24"/>
          <w:szCs w:val="24"/>
          <w:shd w:val="clear" w:fill="FFFFFF"/>
        </w:rPr>
        <w:t xml:space="preserve">(12), 919-935.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"http://dx.doi.org/10.5281/zenodo.2546368"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http://dx.doi.org/10.5281/zenodo.2546368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1F9160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A. I. (2019). Features of the neurotropic effects of partial components of the balneotherapeutic complex of spa Truskavets'.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9</w:t>
      </w:r>
      <w:r>
        <w:rPr>
          <w:rFonts w:hint="default" w:ascii="Times New Roman" w:hAnsi="Times New Roman" w:eastAsia="Tahoma" w:cs="Times New Roman"/>
          <w:i w:val="0"/>
          <w:iCs w:val="0"/>
          <w:caps w:val="0"/>
          <w:color w:val="262626"/>
          <w:spacing w:val="0"/>
          <w:sz w:val="24"/>
          <w:szCs w:val="24"/>
          <w:shd w:val="clear" w:fill="FFFFFF"/>
        </w:rPr>
        <w:t xml:space="preserve">(1), 396-409.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"http://dx.doi.org/10.5281/zenodo.2596710"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http://dx.doi.org/10.5281/zenodo.2596710</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99DD18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(2011). </w:t>
      </w:r>
      <w:r>
        <w:rPr>
          <w:rStyle w:val="11"/>
          <w:rFonts w:hint="default" w:ascii="Times New Roman" w:hAnsi="Times New Roman" w:eastAsia="Tahoma" w:cs="Times New Roman"/>
          <w:i w:val="0"/>
          <w:iCs w:val="0"/>
          <w:caps w:val="0"/>
          <w:color w:val="262626"/>
          <w:spacing w:val="0"/>
          <w:sz w:val="24"/>
          <w:szCs w:val="24"/>
          <w:shd w:val="clear" w:fill="FFFFFF"/>
        </w:rPr>
        <w:t>Stresslimiting adaptogene mechanism of biological and curative activity of water Naftussya</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300.</w:t>
      </w:r>
    </w:p>
    <w:p w14:paraId="237CEE9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Flyunt, I. S., Alyeksyeyev, O. I., Barylyak, L. G., &amp; Bilas, V. R. (2003). </w:t>
      </w:r>
      <w:r>
        <w:rPr>
          <w:rStyle w:val="11"/>
          <w:rFonts w:hint="default" w:ascii="Times New Roman" w:hAnsi="Times New Roman" w:eastAsia="Tahoma" w:cs="Times New Roman"/>
          <w:i w:val="0"/>
          <w:iCs w:val="0"/>
          <w:caps w:val="0"/>
          <w:color w:val="262626"/>
          <w:spacing w:val="0"/>
          <w:sz w:val="24"/>
          <w:szCs w:val="24"/>
          <w:shd w:val="clear" w:fill="FFFFFF"/>
        </w:rPr>
        <w:t>Sanogenetic bases of rehabilitation on spa Truskavets' urological patients from Chornobylian contingent</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192.</w:t>
      </w:r>
    </w:p>
    <w:p w14:paraId="4E870F3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Gozhenko, A. I., Korda, M. M., Klishch, I. M., Popovych, D. V., &amp; Zukow, W. (Eds.). (2022). </w:t>
      </w:r>
      <w:r>
        <w:rPr>
          <w:rStyle w:val="11"/>
          <w:rFonts w:hint="default" w:ascii="Times New Roman" w:hAnsi="Times New Roman" w:eastAsia="Tahoma" w:cs="Times New Roman"/>
          <w:i w:val="0"/>
          <w:iCs w:val="0"/>
          <w:caps w:val="0"/>
          <w:color w:val="262626"/>
          <w:spacing w:val="0"/>
          <w:sz w:val="24"/>
          <w:szCs w:val="24"/>
          <w:shd w:val="clear" w:fill="FFFFFF"/>
        </w:rPr>
        <w:t>Mineral waters, metabolism, neuro-endocrine-immune complex</w:t>
      </w:r>
      <w:r>
        <w:rPr>
          <w:rFonts w:hint="default" w:ascii="Times New Roman" w:hAnsi="Times New Roman" w:eastAsia="Tahoma" w:cs="Times New Roman"/>
          <w:i w:val="0"/>
          <w:iCs w:val="0"/>
          <w:caps w:val="0"/>
          <w:color w:val="262626"/>
          <w:spacing w:val="0"/>
          <w:sz w:val="24"/>
          <w:szCs w:val="24"/>
          <w:shd w:val="clear" w:fill="FFFFFF"/>
        </w:rPr>
        <w:t>. Odesa: Feniks.</w:t>
      </w:r>
      <w:r>
        <w:rPr>
          <w:rFonts w:hint="default" w:ascii="Times New Roman" w:hAnsi="Times New Roman" w:eastAsia="Tahoma" w:cs="Times New Roman"/>
          <w:i w:val="0"/>
          <w:iCs w:val="0"/>
          <w:caps w:val="0"/>
          <w:color w:val="262626"/>
          <w:spacing w:val="0"/>
          <w:sz w:val="24"/>
          <w:szCs w:val="24"/>
          <w:shd w:val="clear" w:fill="FFFFFF"/>
          <w:lang w:val="pl-PL"/>
        </w:rPr>
        <w:t xml:space="preserve"> 252.</w:t>
      </w:r>
    </w:p>
    <w:p w14:paraId="47FBBB3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Ivassivka, S. V., &amp; Flyunt, I. S. (2000). </w:t>
      </w:r>
      <w:r>
        <w:rPr>
          <w:rStyle w:val="11"/>
          <w:rFonts w:hint="default" w:ascii="Times New Roman" w:hAnsi="Times New Roman" w:eastAsia="Tahoma" w:cs="Times New Roman"/>
          <w:i w:val="0"/>
          <w:iCs w:val="0"/>
          <w:caps w:val="0"/>
          <w:color w:val="262626"/>
          <w:spacing w:val="0"/>
          <w:sz w:val="24"/>
          <w:szCs w:val="24"/>
          <w:shd w:val="clear" w:fill="FFFFFF"/>
        </w:rPr>
        <w:t>Bioactive water Naftussya and the stomach</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234.</w:t>
      </w:r>
    </w:p>
    <w:p w14:paraId="3791C56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Kozyavkina, O. V., Kozyavkina, N. V., Korolyshyn, T. A., Lukovych, Y. S., &amp; Barylyak, L. G. (2014). Correlation between indices of the heart rate variability and parameters of ongoing EEG in patients suffering from chronic renal pathology. </w:t>
      </w:r>
      <w:r>
        <w:rPr>
          <w:rStyle w:val="11"/>
          <w:rFonts w:hint="default" w:ascii="Times New Roman" w:hAnsi="Times New Roman" w:eastAsia="Tahoma" w:cs="Times New Roman"/>
          <w:i w:val="0"/>
          <w:iCs w:val="0"/>
          <w:caps w:val="0"/>
          <w:color w:val="262626"/>
          <w:spacing w:val="0"/>
          <w:sz w:val="24"/>
          <w:szCs w:val="24"/>
          <w:shd w:val="clear" w:fill="FFFFFF"/>
        </w:rPr>
        <w:t>Neurophysiology, 46</w:t>
      </w:r>
      <w:r>
        <w:rPr>
          <w:rFonts w:hint="default" w:ascii="Times New Roman" w:hAnsi="Times New Roman" w:eastAsia="Tahoma" w:cs="Times New Roman"/>
          <w:i w:val="0"/>
          <w:iCs w:val="0"/>
          <w:caps w:val="0"/>
          <w:color w:val="262626"/>
          <w:spacing w:val="0"/>
          <w:sz w:val="24"/>
          <w:szCs w:val="24"/>
          <w:shd w:val="clear" w:fill="FFFFFF"/>
        </w:rPr>
        <w:t xml:space="preserve">(2), 139-148.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"https://doi.org/10.1007/s11062-014-9420-y"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https://doi.org/10.1007/s11062-014-9420-y</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880335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L., Kulchynskyi, A. B., Gozhenko, A. I., Zukow, W., Kovbasnyuk, M. M., &amp; Korolyshyn, T. A. (2018). Interrelations between changes in parameters of HRV, EEG and phagocytosis at patients with chronic pyelonephritis and cholecystitis.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8</w:t>
      </w:r>
      <w:r>
        <w:rPr>
          <w:rFonts w:hint="default" w:ascii="Times New Roman" w:hAnsi="Times New Roman" w:eastAsia="Tahoma" w:cs="Times New Roman"/>
          <w:i w:val="0"/>
          <w:iCs w:val="0"/>
          <w:caps w:val="0"/>
          <w:color w:val="262626"/>
          <w:spacing w:val="0"/>
          <w:sz w:val="24"/>
          <w:szCs w:val="24"/>
          <w:shd w:val="clear" w:fill="FFFFFF"/>
        </w:rPr>
        <w:t xml:space="preserve">(2), 135-156.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"http://dx.doi.org/10.5281/zenodo.1179635"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http://dx.doi.org/10.5281/zenodo.1179635</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2996646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Popovych, I., Ruzhylo, S., Ivassivka, S., &amp; Aksentiychuk, B. (Eds.). (2005). </w:t>
      </w:r>
      <w:r>
        <w:rPr>
          <w:rStyle w:val="11"/>
          <w:rFonts w:hint="default" w:ascii="Times New Roman" w:hAnsi="Times New Roman" w:eastAsia="Tahoma" w:cs="Times New Roman"/>
          <w:i w:val="0"/>
          <w:iCs w:val="0"/>
          <w:caps w:val="0"/>
          <w:color w:val="262626"/>
          <w:spacing w:val="0"/>
          <w:sz w:val="24"/>
          <w:szCs w:val="24"/>
          <w:shd w:val="clear" w:fill="FFFFFF"/>
        </w:rPr>
        <w:t>Balneocardioangiology. The impact of balneotherapy in the spa Truskavets' on the cardiovascular system and physical performance</w:t>
      </w:r>
      <w:r>
        <w:rPr>
          <w:rFonts w:hint="default" w:ascii="Times New Roman" w:hAnsi="Times New Roman" w:eastAsia="Tahoma" w:cs="Times New Roman"/>
          <w:i w:val="0"/>
          <w:iCs w:val="0"/>
          <w:caps w:val="0"/>
          <w:color w:val="262626"/>
          <w:spacing w:val="0"/>
          <w:sz w:val="24"/>
          <w:szCs w:val="24"/>
          <w:shd w:val="clear" w:fill="FFFFFF"/>
        </w:rPr>
        <w:t xml:space="preserve"> [in Ukrainian]. Kyїv: Computerpress.</w:t>
      </w:r>
      <w:r>
        <w:rPr>
          <w:rFonts w:hint="default" w:ascii="Times New Roman" w:hAnsi="Times New Roman" w:eastAsia="Tahoma" w:cs="Times New Roman"/>
          <w:i w:val="0"/>
          <w:iCs w:val="0"/>
          <w:caps w:val="0"/>
          <w:color w:val="262626"/>
          <w:spacing w:val="0"/>
          <w:sz w:val="24"/>
          <w:szCs w:val="24"/>
          <w:shd w:val="clear" w:fill="FFFFFF"/>
          <w:lang w:val="pl-PL"/>
        </w:rPr>
        <w:t xml:space="preserve"> 239.</w:t>
      </w:r>
    </w:p>
    <w:p w14:paraId="416E22F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Potapovich, A. I., Lulli, D., Fidanza, P., Kostyuk, V. A., De Luca, C., Pastore, S., &amp; Korkina, L. G. (2011). Plant polyphenols differentially modulate inflammatory responses of human keratinocytes by interfering with activation of transcription factors NFκB and AhR and EGFR–ERK pathway. </w:t>
      </w:r>
      <w:r>
        <w:rPr>
          <w:rStyle w:val="11"/>
          <w:rFonts w:hint="default" w:ascii="Times New Roman" w:hAnsi="Times New Roman" w:eastAsia="Tahoma" w:cs="Times New Roman"/>
          <w:i w:val="0"/>
          <w:iCs w:val="0"/>
          <w:caps w:val="0"/>
          <w:color w:val="262626"/>
          <w:spacing w:val="0"/>
          <w:sz w:val="24"/>
          <w:szCs w:val="24"/>
          <w:shd w:val="clear" w:fill="FFFFFF"/>
        </w:rPr>
        <w:t>Toxicology and Applied Pharmacology, 255</w:t>
      </w:r>
      <w:r>
        <w:rPr>
          <w:rFonts w:hint="default" w:ascii="Times New Roman" w:hAnsi="Times New Roman" w:eastAsia="Tahoma" w:cs="Times New Roman"/>
          <w:i w:val="0"/>
          <w:iCs w:val="0"/>
          <w:caps w:val="0"/>
          <w:color w:val="262626"/>
          <w:spacing w:val="0"/>
          <w:sz w:val="24"/>
          <w:szCs w:val="24"/>
          <w:shd w:val="clear" w:fill="FFFFFF"/>
        </w:rPr>
        <w:t xml:space="preserve">(2), 138-149.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"https://doi.org/10.1016/j.taap.2011.06.007"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https://doi.org/10.1016/j.taap.2011.06.007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382EBC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Quintana, F. J., &amp; Sherr, D. H. (2013). Aryl hydrocarbon receptor control of adaptive immunity. </w:t>
      </w:r>
      <w:r>
        <w:rPr>
          <w:rStyle w:val="11"/>
          <w:rFonts w:hint="default" w:ascii="Times New Roman" w:hAnsi="Times New Roman" w:eastAsia="Tahoma" w:cs="Times New Roman"/>
          <w:i w:val="0"/>
          <w:iCs w:val="0"/>
          <w:caps w:val="0"/>
          <w:color w:val="262626"/>
          <w:spacing w:val="0"/>
          <w:sz w:val="24"/>
          <w:szCs w:val="24"/>
          <w:shd w:val="clear" w:fill="FFFFFF"/>
        </w:rPr>
        <w:t>Pharmacological Reviews, 65</w:t>
      </w:r>
      <w:r>
        <w:rPr>
          <w:rFonts w:hint="default" w:ascii="Times New Roman" w:hAnsi="Times New Roman" w:eastAsia="Tahoma" w:cs="Times New Roman"/>
          <w:i w:val="0"/>
          <w:iCs w:val="0"/>
          <w:caps w:val="0"/>
          <w:color w:val="262626"/>
          <w:spacing w:val="0"/>
          <w:sz w:val="24"/>
          <w:szCs w:val="24"/>
          <w:shd w:val="clear" w:fill="FFFFFF"/>
        </w:rPr>
        <w:t xml:space="preserve">(4), 1148-1161.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"https://doi.org/10.1124/pr.113.007823"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https://doi.org/10.1124/pr.113.007823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EA659A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Rejano-Gordillo, C., Marín-Díaz, B., Ordiales-Talavero, A., Merino, J., González-Rico, F., &amp; Fernandez-Salguero, P. (2022). From nucleus to organs: Insights of aryl hydrocarbon receptor molecular mechanisms. </w:t>
      </w:r>
      <w:r>
        <w:rPr>
          <w:rStyle w:val="11"/>
          <w:rFonts w:hint="default" w:ascii="Times New Roman" w:hAnsi="Times New Roman" w:eastAsia="Tahoma" w:cs="Times New Roman"/>
          <w:i w:val="0"/>
          <w:iCs w:val="0"/>
          <w:caps w:val="0"/>
          <w:color w:val="262626"/>
          <w:spacing w:val="0"/>
          <w:sz w:val="24"/>
          <w:szCs w:val="24"/>
          <w:shd w:val="clear" w:fill="FFFFFF"/>
        </w:rPr>
        <w:t>International Journal of Molecular Sciences, 23</w:t>
      </w:r>
      <w:r>
        <w:rPr>
          <w:rFonts w:hint="default" w:ascii="Times New Roman" w:hAnsi="Times New Roman" w:eastAsia="Tahoma" w:cs="Times New Roman"/>
          <w:i w:val="0"/>
          <w:iCs w:val="0"/>
          <w:caps w:val="0"/>
          <w:color w:val="262626"/>
          <w:spacing w:val="0"/>
          <w:sz w:val="24"/>
          <w:szCs w:val="24"/>
          <w:shd w:val="clear" w:fill="FFFFFF"/>
        </w:rPr>
        <w:t xml:space="preserve">(23), 14919.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"https://doi.org/10.3390/ijms232314919"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https://doi.org/10.3390/ijms232314919</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CAA385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Ruzhylo, S. V., Popovych, A. I., Zakalyak, N. R., Chopyk, R. V., Fihura, O. A., Bilas, V. R., Badiuk, N. S., Gozhenko, A. I., Popovych, I. L., &amp; Zukow, W. (2021). Bioactive water Naftussya and ozokerite have the same neuro-endocrine-immune effects in male rats caused by aryl </w:t>
      </w:r>
      <w:r>
        <w:rPr>
          <w:rFonts w:hint="default" w:ascii="Times New Roman" w:hAnsi="Times New Roman" w:eastAsia="Tahoma" w:cs="Times New Roman"/>
          <w:i w:val="0"/>
          <w:iCs w:val="0"/>
          <w:caps w:val="0"/>
          <w:color w:val="262626"/>
          <w:spacing w:val="0"/>
          <w:sz w:val="24"/>
          <w:szCs w:val="24"/>
          <w:shd w:val="clear" w:fill="FFFFFF"/>
          <w:lang w:val="pl-PL"/>
        </w:rPr>
        <w:t>hydrocarbons</w:t>
      </w:r>
      <w:r>
        <w:rPr>
          <w:rFonts w:hint="default" w:ascii="Times New Roman" w:hAnsi="Times New Roman" w:eastAsia="Tahoma" w:cs="Times New Roman"/>
          <w:i w:val="0"/>
          <w:iCs w:val="0"/>
          <w:caps w:val="0"/>
          <w:color w:val="262626"/>
          <w:spacing w:val="0"/>
          <w:sz w:val="24"/>
          <w:szCs w:val="24"/>
          <w:shd w:val="clear" w:fill="FFFFFF"/>
        </w:rPr>
        <w:t xml:space="preserve">. </w:t>
      </w:r>
      <w:r>
        <w:rPr>
          <w:rStyle w:val="11"/>
          <w:rFonts w:hint="default" w:ascii="Times New Roman" w:hAnsi="Times New Roman" w:eastAsia="Tahoma" w:cs="Times New Roman"/>
          <w:i w:val="0"/>
          <w:iCs w:val="0"/>
          <w:caps w:val="0"/>
          <w:color w:val="262626"/>
          <w:spacing w:val="0"/>
          <w:sz w:val="24"/>
          <w:szCs w:val="24"/>
          <w:shd w:val="clear" w:fill="FFFFFF"/>
        </w:rPr>
        <w:t>PharmacologyOnLine, 3</w:t>
      </w:r>
      <w:r>
        <w:rPr>
          <w:rFonts w:hint="default" w:ascii="Times New Roman" w:hAnsi="Times New Roman" w:eastAsia="Tahoma" w:cs="Times New Roman"/>
          <w:i w:val="0"/>
          <w:iCs w:val="0"/>
          <w:caps w:val="0"/>
          <w:color w:val="262626"/>
          <w:spacing w:val="0"/>
          <w:sz w:val="24"/>
          <w:szCs w:val="24"/>
          <w:shd w:val="clear" w:fill="FFFFFF"/>
        </w:rPr>
        <w:t>, 213-226.</w:t>
      </w:r>
    </w:p>
    <w:p w14:paraId="266AC87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Saha, N., &amp; Samuel, M. (2024). Dietary xenobiotics and their role in immunomodulation. </w:t>
      </w:r>
      <w:r>
        <w:rPr>
          <w:rStyle w:val="11"/>
          <w:rFonts w:hint="default" w:ascii="Times New Roman" w:hAnsi="Times New Roman" w:eastAsia="Tahoma" w:cs="Times New Roman"/>
          <w:i w:val="0"/>
          <w:iCs w:val="0"/>
          <w:caps w:val="0"/>
          <w:color w:val="262626"/>
          <w:spacing w:val="0"/>
          <w:sz w:val="24"/>
          <w:szCs w:val="24"/>
          <w:shd w:val="clear" w:fill="FFFFFF"/>
        </w:rPr>
        <w:t>Food Science and Biotechnology</w:t>
      </w:r>
      <w:r>
        <w:rPr>
          <w:rFonts w:hint="default" w:ascii="Times New Roman" w:hAnsi="Times New Roman" w:eastAsia="Tahoma" w:cs="Times New Roman"/>
          <w:i w:val="0"/>
          <w:iCs w:val="0"/>
          <w:caps w:val="0"/>
          <w:color w:val="262626"/>
          <w:spacing w:val="0"/>
          <w:sz w:val="24"/>
          <w:szCs w:val="24"/>
          <w:shd w:val="clear" w:fill="FFFFFF"/>
        </w:rPr>
        <w:t xml:space="preserve">, 1-13.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"https://doi.org/10.1007/s10068-024-01454-x"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https://doi.org/10.1007/s10068-024-01454-x</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0F48634">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Sergeeva, I., Kiseleva, T., Pomozova, V., Shkrabtak, N., Frolova, N., &amp; Vereshchagin, A. (2021). Experimental studies of the effect of schisandra chinensis extract on the state of adaptive capabilities of rats under chronic and general exposure to cold. </w:t>
      </w:r>
      <w:r>
        <w:rPr>
          <w:rStyle w:val="11"/>
          <w:rFonts w:hint="default" w:ascii="Times New Roman" w:hAnsi="Times New Roman" w:eastAsia="Tahoma" w:cs="Times New Roman"/>
          <w:i w:val="0"/>
          <w:iCs w:val="0"/>
          <w:caps w:val="0"/>
          <w:color w:val="262626"/>
          <w:spacing w:val="0"/>
          <w:sz w:val="24"/>
          <w:szCs w:val="24"/>
          <w:shd w:val="clear" w:fill="FFFFFF"/>
        </w:rPr>
        <w:t>International Journal of Environmental Research and Public Health, 18</w:t>
      </w:r>
      <w:r>
        <w:rPr>
          <w:rFonts w:hint="default" w:ascii="Times New Roman" w:hAnsi="Times New Roman" w:eastAsia="Tahoma" w:cs="Times New Roman"/>
          <w:i w:val="0"/>
          <w:iCs w:val="0"/>
          <w:caps w:val="0"/>
          <w:color w:val="262626"/>
          <w:spacing w:val="0"/>
          <w:sz w:val="24"/>
          <w:szCs w:val="24"/>
          <w:shd w:val="clear" w:fill="FFFFFF"/>
        </w:rPr>
        <w:t xml:space="preserve">(22), 11780.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"https://doi.org/10.3390/ijerph182211780"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https://doi.org/10.3390/ijerph182211780</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48D1519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Shin, J. H., Moreno-Nieves, U. Y., Zhang, L. H., Chen, C., Dixon, A. L., Linde, M. H., Mace, E. M., &amp; Sunwoo, J. B. (2021). AHR regulates NK cell migration via ASB2-mediated ubiquitination of Filamin A. </w:t>
      </w:r>
      <w:r>
        <w:rPr>
          <w:rStyle w:val="11"/>
          <w:rFonts w:hint="default" w:ascii="Times New Roman" w:hAnsi="Times New Roman" w:eastAsia="Tahoma" w:cs="Times New Roman"/>
          <w:i w:val="0"/>
          <w:iCs w:val="0"/>
          <w:caps w:val="0"/>
          <w:color w:val="262626"/>
          <w:spacing w:val="0"/>
          <w:sz w:val="24"/>
          <w:szCs w:val="24"/>
          <w:shd w:val="clear" w:fill="FFFFFF"/>
        </w:rPr>
        <w:t>Frontiers in Immunology, 12</w:t>
      </w:r>
      <w:r>
        <w:rPr>
          <w:rFonts w:hint="default" w:ascii="Times New Roman" w:hAnsi="Times New Roman" w:eastAsia="Tahoma" w:cs="Times New Roman"/>
          <w:i w:val="0"/>
          <w:iCs w:val="0"/>
          <w:caps w:val="0"/>
          <w:color w:val="262626"/>
          <w:spacing w:val="0"/>
          <w:sz w:val="24"/>
          <w:szCs w:val="24"/>
          <w:shd w:val="clear" w:fill="FFFFFF"/>
        </w:rPr>
        <w:t xml:space="preserve">, 624284.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"https://doi.org/10.3389/fimmu.2021.624284"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https://doi.org/10.3389/fimmu.2021.624284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29CE1A3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Struk, Z. D., Melnyk, O. I., Zukow, W., &amp; Popovych, I. L. (2019). The diversity of immune reactions to balneotherapy and their accompaniments.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9</w:t>
      </w:r>
      <w:r>
        <w:rPr>
          <w:rFonts w:hint="default" w:ascii="Times New Roman" w:hAnsi="Times New Roman" w:eastAsia="Tahoma" w:cs="Times New Roman"/>
          <w:i w:val="0"/>
          <w:iCs w:val="0"/>
          <w:caps w:val="0"/>
          <w:color w:val="262626"/>
          <w:spacing w:val="0"/>
          <w:sz w:val="24"/>
          <w:szCs w:val="24"/>
          <w:shd w:val="clear" w:fill="FFFFFF"/>
        </w:rPr>
        <w:t xml:space="preserve">(11), 349-373.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"http://dx.doi.org/10.5281/zenodo.3533871"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http://dx.doi.org/10.5281/zenodo.3533871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81668C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Sun, X. B., Matsumoto, T., &amp; Yamada, H. (1992). Anti-ulcer activity and mode of action of the polysaccharide fraction from the leaves of Panax ginseng. </w:t>
      </w:r>
      <w:r>
        <w:rPr>
          <w:rStyle w:val="11"/>
          <w:rFonts w:hint="default" w:ascii="Times New Roman" w:hAnsi="Times New Roman" w:eastAsia="Tahoma" w:cs="Times New Roman"/>
          <w:i w:val="0"/>
          <w:iCs w:val="0"/>
          <w:caps w:val="0"/>
          <w:color w:val="262626"/>
          <w:spacing w:val="0"/>
          <w:sz w:val="24"/>
          <w:szCs w:val="24"/>
          <w:shd w:val="clear" w:fill="FFFFFF"/>
        </w:rPr>
        <w:t>Planta Medica, 58</w:t>
      </w:r>
      <w:r>
        <w:rPr>
          <w:rFonts w:hint="default" w:ascii="Times New Roman" w:hAnsi="Times New Roman" w:eastAsia="Tahoma" w:cs="Times New Roman"/>
          <w:i w:val="0"/>
          <w:iCs w:val="0"/>
          <w:caps w:val="0"/>
          <w:color w:val="262626"/>
          <w:spacing w:val="0"/>
          <w:sz w:val="24"/>
          <w:szCs w:val="24"/>
          <w:shd w:val="clear" w:fill="FFFFFF"/>
        </w:rPr>
        <w:t xml:space="preserve">(5), 432-435.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"https://doi.org/10.1055/s-2006-961504"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https://doi.org/10.1055/s-2006-961504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A959C5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Szaefer, H., Licznerska, B., &amp; Baer-Dubowska, W. (2024). The aryl hydrocarbon receptor and its crosstalk: A chemopreventive target of naturally occurring and modified phytochemicals. </w:t>
      </w:r>
      <w:r>
        <w:rPr>
          <w:rStyle w:val="11"/>
          <w:rFonts w:hint="default" w:ascii="Times New Roman" w:hAnsi="Times New Roman" w:eastAsia="Tahoma" w:cs="Times New Roman"/>
          <w:i w:val="0"/>
          <w:iCs w:val="0"/>
          <w:caps w:val="0"/>
          <w:color w:val="262626"/>
          <w:spacing w:val="0"/>
          <w:sz w:val="24"/>
          <w:szCs w:val="24"/>
          <w:shd w:val="clear" w:fill="FFFFFF"/>
        </w:rPr>
        <w:t>Molecules, 29</w:t>
      </w:r>
      <w:r>
        <w:rPr>
          <w:rFonts w:hint="default" w:ascii="Times New Roman" w:hAnsi="Times New Roman" w:eastAsia="Tahoma" w:cs="Times New Roman"/>
          <w:i w:val="0"/>
          <w:iCs w:val="0"/>
          <w:caps w:val="0"/>
          <w:color w:val="262626"/>
          <w:spacing w:val="0"/>
          <w:sz w:val="24"/>
          <w:szCs w:val="24"/>
          <w:shd w:val="clear" w:fill="FFFFFF"/>
        </w:rPr>
        <w:t xml:space="preserve">(18), 4283.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"https://doi.org/10.3390/molecules29184283"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https://doi.org/10.3390/molecules29184283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37BD23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Tang, J. S., Cait, A., Li, Y., Abolins-Thompson, H., Gell, K., Herst, P. M., Vissers, M., &amp; Gasser, O. (2021). Practical approach to explore the effects of polyphenols on aryl hydrocarbon receptor regulated immune function. </w:t>
      </w:r>
      <w:r>
        <w:rPr>
          <w:rStyle w:val="11"/>
          <w:rFonts w:hint="default" w:ascii="Times New Roman" w:hAnsi="Times New Roman" w:eastAsia="Tahoma" w:cs="Times New Roman"/>
          <w:i w:val="0"/>
          <w:iCs w:val="0"/>
          <w:caps w:val="0"/>
          <w:color w:val="262626"/>
          <w:spacing w:val="0"/>
          <w:sz w:val="24"/>
          <w:szCs w:val="24"/>
          <w:shd w:val="clear" w:fill="FFFFFF"/>
        </w:rPr>
        <w:t>Journal of Agricultural and Food Chemistry, 69</w:t>
      </w:r>
      <w:r>
        <w:rPr>
          <w:rFonts w:hint="default" w:ascii="Times New Roman" w:hAnsi="Times New Roman" w:eastAsia="Tahoma" w:cs="Times New Roman"/>
          <w:i w:val="0"/>
          <w:iCs w:val="0"/>
          <w:caps w:val="0"/>
          <w:color w:val="262626"/>
          <w:spacing w:val="0"/>
          <w:sz w:val="24"/>
          <w:szCs w:val="24"/>
          <w:shd w:val="clear" w:fill="FFFFFF"/>
        </w:rPr>
        <w:t xml:space="preserve">(31), 8625-8633.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"https://doi.org/10.1021/acs.jafc.1c01845"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https://doi.org/10.1021/acs.jafc.1c01845</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878005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Tekin, İ. Ö., &amp; Marotta, F. (2018). Polyphenols and immune system. In R. R. Watson, V. R. Preedy, &amp; S. Zibadi (Eds.), </w:t>
      </w:r>
      <w:r>
        <w:rPr>
          <w:rStyle w:val="11"/>
          <w:rFonts w:hint="default" w:ascii="Times New Roman" w:hAnsi="Times New Roman" w:eastAsia="Tahoma" w:cs="Times New Roman"/>
          <w:i w:val="0"/>
          <w:iCs w:val="0"/>
          <w:caps w:val="0"/>
          <w:color w:val="262626"/>
          <w:spacing w:val="0"/>
          <w:sz w:val="24"/>
          <w:szCs w:val="24"/>
          <w:shd w:val="clear" w:fill="FFFFFF"/>
        </w:rPr>
        <w:t>Polyphenols: Prevention and treatment of human disease</w:t>
      </w:r>
      <w:r>
        <w:rPr>
          <w:rFonts w:hint="default" w:ascii="Times New Roman" w:hAnsi="Times New Roman" w:eastAsia="Tahoma" w:cs="Times New Roman"/>
          <w:i w:val="0"/>
          <w:iCs w:val="0"/>
          <w:caps w:val="0"/>
          <w:color w:val="262626"/>
          <w:spacing w:val="0"/>
          <w:sz w:val="24"/>
          <w:szCs w:val="24"/>
          <w:shd w:val="clear" w:fill="FFFFFF"/>
        </w:rPr>
        <w:t xml:space="preserve"> (pp. 263-276). Academic Press.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"https://doi.org/10.1016/B978-0-12-813008-7.00021-X"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https://doi.org/10.1016/B978-0-12-813008-7.00021-X</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052C3E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Todorova, V., Ivanov, K., &amp; Ivanova, S. (2021). Comparison between the biological active compounds in plants with adaptogenic properties (Rhaponticum carthamoides, Lepidium meyenii, Eleutherococcus senticosus and Panax ginseng). </w:t>
      </w:r>
      <w:r>
        <w:rPr>
          <w:rStyle w:val="11"/>
          <w:rFonts w:hint="default" w:ascii="Times New Roman" w:hAnsi="Times New Roman" w:eastAsia="Tahoma" w:cs="Times New Roman"/>
          <w:i w:val="0"/>
          <w:iCs w:val="0"/>
          <w:caps w:val="0"/>
          <w:color w:val="262626"/>
          <w:spacing w:val="0"/>
          <w:sz w:val="24"/>
          <w:szCs w:val="24"/>
          <w:shd w:val="clear" w:fill="FFFFFF"/>
        </w:rPr>
        <w:t>Plants, 11</w:t>
      </w:r>
      <w:r>
        <w:rPr>
          <w:rFonts w:hint="default" w:ascii="Times New Roman" w:hAnsi="Times New Roman" w:eastAsia="Tahoma" w:cs="Times New Roman"/>
          <w:i w:val="0"/>
          <w:iCs w:val="0"/>
          <w:caps w:val="0"/>
          <w:color w:val="262626"/>
          <w:spacing w:val="0"/>
          <w:sz w:val="24"/>
          <w:szCs w:val="24"/>
          <w:shd w:val="clear" w:fill="FFFFFF"/>
        </w:rPr>
        <w:t xml:space="preserve">(1), 64.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"https://doi.org/10.3390/plants11010064"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https://doi.org/10.3390/plants11010064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8128D56">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Trego, M. L., Hoh, E., Kellar, N. M., Meszaros, S., Robbins, M. N., Dodder, N. G., Whitehead, A., &amp; Lewison, R. L. (2018). Comprehensive screening links halogenated organic compounds with testosterone levels in male Delphinus delphis from the Southern California Bight. </w:t>
      </w:r>
      <w:r>
        <w:rPr>
          <w:rStyle w:val="11"/>
          <w:rFonts w:hint="default" w:ascii="Times New Roman" w:hAnsi="Times New Roman" w:eastAsia="Tahoma" w:cs="Times New Roman"/>
          <w:i w:val="0"/>
          <w:iCs w:val="0"/>
          <w:caps w:val="0"/>
          <w:color w:val="262626"/>
          <w:spacing w:val="0"/>
          <w:sz w:val="24"/>
          <w:szCs w:val="24"/>
          <w:shd w:val="clear" w:fill="FFFFFF"/>
        </w:rPr>
        <w:t>Environmental Science &amp; Technology, 52</w:t>
      </w:r>
      <w:r>
        <w:rPr>
          <w:rFonts w:hint="default" w:ascii="Times New Roman" w:hAnsi="Times New Roman" w:eastAsia="Tahoma" w:cs="Times New Roman"/>
          <w:i w:val="0"/>
          <w:iCs w:val="0"/>
          <w:caps w:val="0"/>
          <w:color w:val="262626"/>
          <w:spacing w:val="0"/>
          <w:sz w:val="24"/>
          <w:szCs w:val="24"/>
          <w:shd w:val="clear" w:fill="FFFFFF"/>
        </w:rPr>
        <w:t xml:space="preserve">(5), 3101-3109.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"https://doi.org/10.1021/acs.est.7b04652"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https://doi.org/10.1021/acs.est.7b04652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9DD815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Tserkovnyuk, A. V., &amp; Ruzhylo, S. V. (2001a). Aerobic training optimization of the effect of balneotherapy at the Truskavets' resort on physical performance and its support systems [in Ukrainian]. </w:t>
      </w:r>
      <w:r>
        <w:rPr>
          <w:rStyle w:val="11"/>
          <w:rFonts w:hint="default" w:ascii="Times New Roman" w:hAnsi="Times New Roman" w:eastAsia="Tahoma" w:cs="Times New Roman"/>
          <w:i w:val="0"/>
          <w:iCs w:val="0"/>
          <w:caps w:val="0"/>
          <w:color w:val="262626"/>
          <w:spacing w:val="0"/>
          <w:sz w:val="24"/>
          <w:szCs w:val="24"/>
          <w:shd w:val="clear" w:fill="FFFFFF"/>
        </w:rPr>
        <w:t>Ukrainian Balneological Journal, 2</w:t>
      </w:r>
      <w:r>
        <w:rPr>
          <w:rFonts w:hint="default" w:ascii="Times New Roman" w:hAnsi="Times New Roman" w:eastAsia="Tahoma" w:cs="Times New Roman"/>
          <w:i w:val="0"/>
          <w:iCs w:val="0"/>
          <w:caps w:val="0"/>
          <w:color w:val="262626"/>
          <w:spacing w:val="0"/>
          <w:sz w:val="24"/>
          <w:szCs w:val="24"/>
          <w:shd w:val="clear" w:fill="FFFFFF"/>
        </w:rPr>
        <w:t>, 39-45.</w:t>
      </w:r>
    </w:p>
    <w:p w14:paraId="5B2EE34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Tserkovnyuk, A. V., &amp; Ruzhylo, S. V. (2001b). The influence of aerobic training against the background of balneotherapy at the Truskavets' resort on physical performance and its hemodynamic and metabolic support [in Ukrainian]. </w:t>
      </w:r>
      <w:r>
        <w:rPr>
          <w:rStyle w:val="11"/>
          <w:rFonts w:hint="default" w:ascii="Times New Roman" w:hAnsi="Times New Roman" w:eastAsia="Tahoma" w:cs="Times New Roman"/>
          <w:i w:val="0"/>
          <w:iCs w:val="0"/>
          <w:caps w:val="0"/>
          <w:color w:val="262626"/>
          <w:spacing w:val="0"/>
          <w:sz w:val="24"/>
          <w:szCs w:val="24"/>
          <w:shd w:val="clear" w:fill="FFFFFF"/>
        </w:rPr>
        <w:t>Ukrainian Balneological Journal, 1</w:t>
      </w:r>
      <w:r>
        <w:rPr>
          <w:rFonts w:hint="default" w:ascii="Times New Roman" w:hAnsi="Times New Roman" w:eastAsia="Tahoma" w:cs="Times New Roman"/>
          <w:i w:val="0"/>
          <w:iCs w:val="0"/>
          <w:caps w:val="0"/>
          <w:color w:val="262626"/>
          <w:spacing w:val="0"/>
          <w:sz w:val="24"/>
          <w:szCs w:val="24"/>
          <w:shd w:val="clear" w:fill="FFFFFF"/>
        </w:rPr>
        <w:t>, 55-64.</w:t>
      </w:r>
    </w:p>
    <w:p w14:paraId="5C08D5AD">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Wang, X., Hawkins, B. T., &amp; Miller, D. S. (2011). Aryl hydrocarbon receptor-mediated up-regulation of ATP-driven xenobiotic efflux transporters at the blood-brain barrier. </w:t>
      </w:r>
      <w:r>
        <w:rPr>
          <w:rStyle w:val="11"/>
          <w:rFonts w:hint="default" w:ascii="Times New Roman" w:hAnsi="Times New Roman" w:eastAsia="Tahoma" w:cs="Times New Roman"/>
          <w:i w:val="0"/>
          <w:iCs w:val="0"/>
          <w:caps w:val="0"/>
          <w:color w:val="262626"/>
          <w:spacing w:val="0"/>
          <w:sz w:val="24"/>
          <w:szCs w:val="24"/>
          <w:shd w:val="clear" w:fill="FFFFFF"/>
        </w:rPr>
        <w:t>FASEB Journal, 25</w:t>
      </w:r>
      <w:r>
        <w:rPr>
          <w:rFonts w:hint="default" w:ascii="Times New Roman" w:hAnsi="Times New Roman" w:eastAsia="Tahoma" w:cs="Times New Roman"/>
          <w:i w:val="0"/>
          <w:iCs w:val="0"/>
          <w:caps w:val="0"/>
          <w:color w:val="262626"/>
          <w:spacing w:val="0"/>
          <w:sz w:val="24"/>
          <w:szCs w:val="24"/>
          <w:shd w:val="clear" w:fill="FFFFFF"/>
        </w:rPr>
        <w:t xml:space="preserve">, 644-652.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"https://doi.org/10.1096/fj.10-169227"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https://doi.org/10.1096/fj.10-169227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1D45778B">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Wang, Y., Ye, X., Ma, Z., Liang, Q., Lu, B., Tan, H., Xiao, C., Zhang, B., &amp; Gao, Y. (2008). Induction of cytochrome P450 1A1 expression by ginsenoside Rg1 and Rb1 in HepG2 cells. </w:t>
      </w:r>
      <w:r>
        <w:rPr>
          <w:rStyle w:val="11"/>
          <w:rFonts w:hint="default" w:ascii="Times New Roman" w:hAnsi="Times New Roman" w:eastAsia="Tahoma" w:cs="Times New Roman"/>
          <w:i w:val="0"/>
          <w:iCs w:val="0"/>
          <w:caps w:val="0"/>
          <w:color w:val="262626"/>
          <w:spacing w:val="0"/>
          <w:sz w:val="24"/>
          <w:szCs w:val="24"/>
          <w:shd w:val="clear" w:fill="FFFFFF"/>
        </w:rPr>
        <w:t>European Journal of Pharmacology, 601</w:t>
      </w:r>
      <w:r>
        <w:rPr>
          <w:rFonts w:hint="default" w:ascii="Times New Roman" w:hAnsi="Times New Roman" w:eastAsia="Tahoma" w:cs="Times New Roman"/>
          <w:i w:val="0"/>
          <w:iCs w:val="0"/>
          <w:caps w:val="0"/>
          <w:color w:val="262626"/>
          <w:spacing w:val="0"/>
          <w:sz w:val="24"/>
          <w:szCs w:val="24"/>
          <w:shd w:val="clear" w:fill="FFFFFF"/>
        </w:rPr>
        <w:t xml:space="preserve">(1-3), 73-78.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"https://doi.org/10.1016/j.ejphar.2008.10.057"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https://doi.org/10.1016/j.ejphar.2008.10.057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56D3242">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Winkelmann, T., Thayer, J. F., Pohlak, S. T., Nees, F., Grimm, O., &amp; Flor, H. (2017). Structural brain correlates of heart rate variability in healthy young adult population. </w:t>
      </w:r>
      <w:r>
        <w:rPr>
          <w:rStyle w:val="11"/>
          <w:rFonts w:hint="default" w:ascii="Times New Roman" w:hAnsi="Times New Roman" w:eastAsia="Tahoma" w:cs="Times New Roman"/>
          <w:i w:val="0"/>
          <w:iCs w:val="0"/>
          <w:caps w:val="0"/>
          <w:color w:val="262626"/>
          <w:spacing w:val="0"/>
          <w:sz w:val="24"/>
          <w:szCs w:val="24"/>
          <w:shd w:val="clear" w:fill="FFFFFF"/>
        </w:rPr>
        <w:t>Brain Structure and Function, 222</w:t>
      </w:r>
      <w:r>
        <w:rPr>
          <w:rFonts w:hint="default" w:ascii="Times New Roman" w:hAnsi="Times New Roman" w:eastAsia="Tahoma" w:cs="Times New Roman"/>
          <w:i w:val="0"/>
          <w:iCs w:val="0"/>
          <w:caps w:val="0"/>
          <w:color w:val="262626"/>
          <w:spacing w:val="0"/>
          <w:sz w:val="24"/>
          <w:szCs w:val="24"/>
          <w:shd w:val="clear" w:fill="FFFFFF"/>
        </w:rPr>
        <w:t xml:space="preserve">(2), 1061-1068.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"https://doi.org/10.1007/s00429-016-1185-1"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https://doi.org/10.1007/s00429-016-1185-1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CEC9BC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Xue, Z., Li, D., Yu, W., Zhang, Q., Hou, X., He, Y., &amp; Kou, X. (2017). Mechanisms and therapeutic prospects of polyphenols as modulators of the aryl hydrocarbon receptor. </w:t>
      </w:r>
      <w:r>
        <w:rPr>
          <w:rStyle w:val="11"/>
          <w:rFonts w:hint="default" w:ascii="Times New Roman" w:hAnsi="Times New Roman" w:eastAsia="Tahoma" w:cs="Times New Roman"/>
          <w:i w:val="0"/>
          <w:iCs w:val="0"/>
          <w:caps w:val="0"/>
          <w:color w:val="262626"/>
          <w:spacing w:val="0"/>
          <w:sz w:val="24"/>
          <w:szCs w:val="24"/>
          <w:shd w:val="clear" w:fill="FFFFFF"/>
        </w:rPr>
        <w:t>Food &amp; Function, 8</w:t>
      </w:r>
      <w:r>
        <w:rPr>
          <w:rFonts w:hint="default" w:ascii="Times New Roman" w:hAnsi="Times New Roman" w:eastAsia="Tahoma" w:cs="Times New Roman"/>
          <w:i w:val="0"/>
          <w:iCs w:val="0"/>
          <w:caps w:val="0"/>
          <w:color w:val="262626"/>
          <w:spacing w:val="0"/>
          <w:sz w:val="24"/>
          <w:szCs w:val="24"/>
          <w:shd w:val="clear" w:fill="FFFFFF"/>
        </w:rPr>
        <w:t xml:space="preserve">(4), 1414-1437.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"https://doi.org/10.1039/c6fo01810f"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https://doi.org/10.1039/c6fo01810f</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311C5B25">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Yang, X., Liu, H., Ye, T., Lei, X., Jiang, K., Zhou, Y., Xiao, X., Xie, K., Wang, G., &amp; Duan, C. (2020). AhR activation attenuates calcium oxalate nephrocalcinosis by diminishing M1 macrophage polarization and promoting M2 macrophage polarization. </w:t>
      </w:r>
      <w:r>
        <w:rPr>
          <w:rStyle w:val="11"/>
          <w:rFonts w:hint="default" w:ascii="Times New Roman" w:hAnsi="Times New Roman" w:eastAsia="Tahoma" w:cs="Times New Roman"/>
          <w:i w:val="0"/>
          <w:iCs w:val="0"/>
          <w:caps w:val="0"/>
          <w:color w:val="262626"/>
          <w:spacing w:val="0"/>
          <w:sz w:val="24"/>
          <w:szCs w:val="24"/>
          <w:shd w:val="clear" w:fill="FFFFFF"/>
        </w:rPr>
        <w:t>Theranostics, 10</w:t>
      </w:r>
      <w:r>
        <w:rPr>
          <w:rFonts w:hint="default" w:ascii="Times New Roman" w:hAnsi="Times New Roman" w:eastAsia="Tahoma" w:cs="Times New Roman"/>
          <w:i w:val="0"/>
          <w:iCs w:val="0"/>
          <w:caps w:val="0"/>
          <w:color w:val="262626"/>
          <w:spacing w:val="0"/>
          <w:sz w:val="24"/>
          <w:szCs w:val="24"/>
          <w:shd w:val="clear" w:fill="FFFFFF"/>
        </w:rPr>
        <w:t xml:space="preserve">(26), 12011-12025.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"https://doi.org/10.7150/thno.51144"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https://doi.org/10.7150/thno.51144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24AB9800">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Ye, L., Zhao, B., Hu, G., Chu, Y., &amp; Ge, R. S. (2011). Inhibition of human and rat testicular steroidogenic enzyme activities by bisphenol A. </w:t>
      </w:r>
      <w:r>
        <w:rPr>
          <w:rStyle w:val="11"/>
          <w:rFonts w:hint="default" w:ascii="Times New Roman" w:hAnsi="Times New Roman" w:eastAsia="Tahoma" w:cs="Times New Roman"/>
          <w:i w:val="0"/>
          <w:iCs w:val="0"/>
          <w:caps w:val="0"/>
          <w:color w:val="262626"/>
          <w:spacing w:val="0"/>
          <w:sz w:val="24"/>
          <w:szCs w:val="24"/>
          <w:shd w:val="clear" w:fill="FFFFFF"/>
        </w:rPr>
        <w:t>Toxicology Letters, 207</w:t>
      </w:r>
      <w:r>
        <w:rPr>
          <w:rFonts w:hint="default" w:ascii="Times New Roman" w:hAnsi="Times New Roman" w:eastAsia="Tahoma" w:cs="Times New Roman"/>
          <w:i w:val="0"/>
          <w:iCs w:val="0"/>
          <w:caps w:val="0"/>
          <w:color w:val="262626"/>
          <w:spacing w:val="0"/>
          <w:sz w:val="24"/>
          <w:szCs w:val="24"/>
          <w:shd w:val="clear" w:fill="FFFFFF"/>
        </w:rPr>
        <w:t xml:space="preserve">(2), 137-142.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"https://doi.org/10.1016/j.toxlet.2011.09.001"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https://doi.org/10.1016/j.toxlet.2011.09.001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8001E3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Zhang, M., Ma, L., Luo, J., Ren, T., Liu, S., Pan, L., Liang, J., Wang, Z., Jiang, K., Xiao, X., &amp; Zheng, F. (2024). Low-medium polarity ginsenosides from wild ginseng improves immunity by activating the AhR/MAPK pathway through tryptophan metabolism driven by gut microbiota. </w:t>
      </w:r>
      <w:r>
        <w:rPr>
          <w:rStyle w:val="11"/>
          <w:rFonts w:hint="default" w:ascii="Times New Roman" w:hAnsi="Times New Roman" w:eastAsia="Tahoma" w:cs="Times New Roman"/>
          <w:i w:val="0"/>
          <w:iCs w:val="0"/>
          <w:caps w:val="0"/>
          <w:color w:val="262626"/>
          <w:spacing w:val="0"/>
          <w:sz w:val="24"/>
          <w:szCs w:val="24"/>
          <w:shd w:val="clear" w:fill="FFFFFF"/>
        </w:rPr>
        <w:t>Journal of Agricultural and Food Chemistry, 72</w:t>
      </w:r>
      <w:r>
        <w:rPr>
          <w:rFonts w:hint="default" w:ascii="Times New Roman" w:hAnsi="Times New Roman" w:eastAsia="Tahoma" w:cs="Times New Roman"/>
          <w:i w:val="0"/>
          <w:iCs w:val="0"/>
          <w:caps w:val="0"/>
          <w:color w:val="262626"/>
          <w:spacing w:val="0"/>
          <w:sz w:val="24"/>
          <w:szCs w:val="24"/>
          <w:shd w:val="clear" w:fill="FFFFFF"/>
        </w:rPr>
        <w:t xml:space="preserve">(47), 26142-26154.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"https://doi.org/10.1021/acs.jafc.4c04830"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https://doi.org/10.1021/acs.jafc.4c04830</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5F234DF">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Zhou, L. (2016). AHR function in lymphocytes: Emerging concepts. </w:t>
      </w:r>
      <w:r>
        <w:rPr>
          <w:rStyle w:val="11"/>
          <w:rFonts w:hint="default" w:ascii="Times New Roman" w:hAnsi="Times New Roman" w:eastAsia="Tahoma" w:cs="Times New Roman"/>
          <w:i w:val="0"/>
          <w:iCs w:val="0"/>
          <w:caps w:val="0"/>
          <w:color w:val="262626"/>
          <w:spacing w:val="0"/>
          <w:sz w:val="24"/>
          <w:szCs w:val="24"/>
          <w:shd w:val="clear" w:fill="FFFFFF"/>
        </w:rPr>
        <w:t>Trends in Immunology, 37</w:t>
      </w:r>
      <w:r>
        <w:rPr>
          <w:rFonts w:hint="default" w:ascii="Times New Roman" w:hAnsi="Times New Roman" w:eastAsia="Tahoma" w:cs="Times New Roman"/>
          <w:i w:val="0"/>
          <w:iCs w:val="0"/>
          <w:caps w:val="0"/>
          <w:color w:val="262626"/>
          <w:spacing w:val="0"/>
          <w:sz w:val="24"/>
          <w:szCs w:val="24"/>
          <w:shd w:val="clear" w:fill="FFFFFF"/>
        </w:rPr>
        <w:t xml:space="preserve">(1), 17-31.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"https://doi.org/10.1016/j.it.2015.11.007"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https://doi.org/10.1016/j.it.2015.11.007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7CE949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Fihura, O. A., Żukow, X., Muszkieta, R., Hagner-Derengowska, M., Smoleńska, O., Michalska, A., Melnyk, O. I., Ruzhylo, S. V., Zakalyak, N. R., Kondratska, H. D., Voloshyn, O. R., &amp; Popovych, I. L. (2024). Prevention of adverse effects of balneofactors at Truskavets' Spa on gastroenterologic patients through phytoadaptogens and therapeutic physical education: Mechanisms of rehabilitation. </w:t>
      </w:r>
      <w:r>
        <w:rPr>
          <w:rStyle w:val="11"/>
          <w:rFonts w:hint="default" w:ascii="Times New Roman" w:hAnsi="Times New Roman" w:eastAsia="Tahoma" w:cs="Times New Roman"/>
          <w:i w:val="0"/>
          <w:iCs w:val="0"/>
          <w:caps w:val="0"/>
          <w:color w:val="262626"/>
          <w:spacing w:val="0"/>
          <w:sz w:val="24"/>
          <w:szCs w:val="24"/>
          <w:shd w:val="clear" w:fill="FFFFFF"/>
        </w:rPr>
        <w:t>Journal of Physical Education and Sport, 24</w:t>
      </w:r>
      <w:r>
        <w:rPr>
          <w:rFonts w:hint="default" w:ascii="Times New Roman" w:hAnsi="Times New Roman" w:eastAsia="Tahoma" w:cs="Times New Roman"/>
          <w:i w:val="0"/>
          <w:iCs w:val="0"/>
          <w:caps w:val="0"/>
          <w:color w:val="262626"/>
          <w:spacing w:val="0"/>
          <w:sz w:val="24"/>
          <w:szCs w:val="24"/>
          <w:shd w:val="clear" w:fill="FFFFFF"/>
        </w:rPr>
        <w:t xml:space="preserve">(4), 791-810.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"https://doi.org/10.7752/jpes.2024.04093"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https://doi.org/10.7752/jpes.2024.04093</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087C664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Fihura, O. A., Korda, M. M., Klishch, I. M., Ruzhylo, S. V., Melnyk, O. I., Yanchij, R. I., &amp; Popovych, I. L. (2024). Modulating effects of Ukrainian phytocomposition "Balm Truskavets'" on post stress changes in neuroendocrine-immune complex, metabolome, electrocardiogram, and gastric mucosa at rats. </w:t>
      </w:r>
      <w:r>
        <w:rPr>
          <w:rStyle w:val="11"/>
          <w:rFonts w:hint="default" w:ascii="Times New Roman" w:hAnsi="Times New Roman" w:eastAsia="Tahoma" w:cs="Times New Roman"/>
          <w:i w:val="0"/>
          <w:iCs w:val="0"/>
          <w:caps w:val="0"/>
          <w:color w:val="262626"/>
          <w:spacing w:val="0"/>
          <w:sz w:val="24"/>
          <w:szCs w:val="24"/>
          <w:shd w:val="clear" w:fill="FFFFFF"/>
        </w:rPr>
        <w:t>Journal of Education, Health and Sport, 64</w:t>
      </w:r>
      <w:r>
        <w:rPr>
          <w:rFonts w:hint="default" w:ascii="Times New Roman" w:hAnsi="Times New Roman" w:eastAsia="Tahoma" w:cs="Times New Roman"/>
          <w:i w:val="0"/>
          <w:iCs w:val="0"/>
          <w:caps w:val="0"/>
          <w:color w:val="262626"/>
          <w:spacing w:val="0"/>
          <w:sz w:val="24"/>
          <w:szCs w:val="24"/>
          <w:shd w:val="clear" w:fill="FFFFFF"/>
        </w:rPr>
        <w:t xml:space="preserve">, 55171.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"https://dx.doi.org/10.12775/JEHS.2024.64.55171"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https://dx.doi.org/10.12775/JEHS.2024.64.55171</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477C27C">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Fil, V. M., Kovalchuk, H. Y., Voloshyn, O. R., Kopko, I. Y., Lupak, O. M., Ivasivka, A. S., Musiyenko, O. V., Bilas, V. R., &amp; Popovych, I. L. (2022). The role of innate muscular endurance and resistance to hypoxia in reactions to acute stress of immunity in rats. </w:t>
      </w:r>
      <w:r>
        <w:rPr>
          <w:rStyle w:val="11"/>
          <w:rFonts w:hint="default" w:ascii="Times New Roman" w:hAnsi="Times New Roman" w:eastAsia="Tahoma" w:cs="Times New Roman"/>
          <w:i w:val="0"/>
          <w:iCs w:val="0"/>
          <w:caps w:val="0"/>
          <w:color w:val="262626"/>
          <w:spacing w:val="0"/>
          <w:sz w:val="24"/>
          <w:szCs w:val="24"/>
          <w:shd w:val="clear" w:fill="FFFFFF"/>
        </w:rPr>
        <w:t>Journal of Physical Education and Sport, 22</w:t>
      </w:r>
      <w:r>
        <w:rPr>
          <w:rFonts w:hint="default" w:ascii="Times New Roman" w:hAnsi="Times New Roman" w:eastAsia="Tahoma" w:cs="Times New Roman"/>
          <w:i w:val="0"/>
          <w:iCs w:val="0"/>
          <w:caps w:val="0"/>
          <w:color w:val="262626"/>
          <w:spacing w:val="0"/>
          <w:sz w:val="24"/>
          <w:szCs w:val="24"/>
          <w:shd w:val="clear" w:fill="FFFFFF"/>
        </w:rPr>
        <w:t xml:space="preserve">(7), 1608-1617.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"https://doi.org/10.7752/jpes.2022.07202"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https://doi.org/10.7752/jpes.2022.07202</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5E44A2B1">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Flyunt, I-S. S., Ponomarenko, R. B., Rybak, N. Y., Fil', V. M., Kovalchuk, H. Y., Sarancha, S. M., &amp; Nahurna, Y. V. (2020). Polyvariant change of step-test under the influence of natural adaptogens and their accompaniments. </w:t>
      </w:r>
      <w:r>
        <w:rPr>
          <w:rStyle w:val="11"/>
          <w:rFonts w:hint="default" w:ascii="Times New Roman" w:hAnsi="Times New Roman" w:eastAsia="Tahoma" w:cs="Times New Roman"/>
          <w:i w:val="0"/>
          <w:iCs w:val="0"/>
          <w:caps w:val="0"/>
          <w:color w:val="262626"/>
          <w:spacing w:val="0"/>
          <w:sz w:val="24"/>
          <w:szCs w:val="24"/>
          <w:shd w:val="clear" w:fill="FFFFFF"/>
        </w:rPr>
        <w:t>Pedagogy and Psychology of Sport, 6</w:t>
      </w:r>
      <w:r>
        <w:rPr>
          <w:rFonts w:hint="default" w:ascii="Times New Roman" w:hAnsi="Times New Roman" w:eastAsia="Tahoma" w:cs="Times New Roman"/>
          <w:i w:val="0"/>
          <w:iCs w:val="0"/>
          <w:caps w:val="0"/>
          <w:color w:val="262626"/>
          <w:spacing w:val="0"/>
          <w:sz w:val="24"/>
          <w:szCs w:val="24"/>
          <w:shd w:val="clear" w:fill="FFFFFF"/>
        </w:rPr>
        <w:t xml:space="preserve">(2), 74-84.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"https://doi.org/10.12775/PPS.2020.06.02.008"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https://doi.org/10.12775/PPS.2020.06.02.008</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84C7027">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Flyunt, I-S. S., Ruzhylo, S. V., Kovalchuk, H. Y., Nahurna, Y. V., Popovych, D. V., &amp; Sarancha, S. M. (2021). Forecasting of multivariant changes in step test under the influence of natural adaptogens. </w:t>
      </w:r>
      <w:r>
        <w:rPr>
          <w:rStyle w:val="11"/>
          <w:rFonts w:hint="default" w:ascii="Times New Roman" w:hAnsi="Times New Roman" w:eastAsia="Tahoma" w:cs="Times New Roman"/>
          <w:i w:val="0"/>
          <w:iCs w:val="0"/>
          <w:caps w:val="0"/>
          <w:color w:val="262626"/>
          <w:spacing w:val="0"/>
          <w:sz w:val="24"/>
          <w:szCs w:val="24"/>
          <w:shd w:val="clear" w:fill="FFFFFF"/>
        </w:rPr>
        <w:t>Pedagogy and Psychology of Sport, 7</w:t>
      </w:r>
      <w:r>
        <w:rPr>
          <w:rFonts w:hint="default" w:ascii="Times New Roman" w:hAnsi="Times New Roman" w:eastAsia="Tahoma" w:cs="Times New Roman"/>
          <w:i w:val="0"/>
          <w:iCs w:val="0"/>
          <w:caps w:val="0"/>
          <w:color w:val="262626"/>
          <w:spacing w:val="0"/>
          <w:sz w:val="24"/>
          <w:szCs w:val="24"/>
          <w:shd w:val="clear" w:fill="FFFFFF"/>
        </w:rPr>
        <w:t xml:space="preserve">(1), 85-93.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"https://doi.org/10.12775/PPS.2021.07.01.007"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https://doi.org/10.12775/PPS.2021.07.01.007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7380379E">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rFonts w:hint="default" w:ascii="Times New Roman" w:hAnsi="Times New Roman" w:cs="Times New Roman"/>
          <w:sz w:val="24"/>
          <w:szCs w:val="24"/>
        </w:rPr>
      </w:pPr>
      <w:r>
        <w:rPr>
          <w:rFonts w:hint="default" w:ascii="Times New Roman" w:hAnsi="Times New Roman" w:eastAsia="Tahoma" w:cs="Times New Roman"/>
          <w:i w:val="0"/>
          <w:iCs w:val="0"/>
          <w:caps w:val="0"/>
          <w:color w:val="262626"/>
          <w:spacing w:val="0"/>
          <w:sz w:val="24"/>
          <w:szCs w:val="24"/>
          <w:shd w:val="clear" w:fill="FFFFFF"/>
        </w:rPr>
        <w:t xml:space="preserve">Zukow, W., Gozhenko, O. A., Zavidnyuk, Y. V., Korda, M. M., Mysula, I. R., Klishch, I. M., Zhulkevych, I. V., Popovych, I. L., Muszkieta, R., Napierata, M., Hagner-Derengowska, M., &amp; Skaliy, A. (2020). Role of organic carbon and nitrogen of mineral waters in their neuro-endocrine effects at female rats. </w:t>
      </w:r>
      <w:r>
        <w:rPr>
          <w:rStyle w:val="11"/>
          <w:rFonts w:hint="default" w:ascii="Times New Roman" w:hAnsi="Times New Roman" w:eastAsia="Tahoma" w:cs="Times New Roman"/>
          <w:i w:val="0"/>
          <w:iCs w:val="0"/>
          <w:caps w:val="0"/>
          <w:color w:val="262626"/>
          <w:spacing w:val="0"/>
          <w:sz w:val="24"/>
          <w:szCs w:val="24"/>
          <w:shd w:val="clear" w:fill="FFFFFF"/>
        </w:rPr>
        <w:t>International Journal of Applied Exercise Physiology, 9</w:t>
      </w:r>
      <w:r>
        <w:rPr>
          <w:rFonts w:hint="default" w:ascii="Times New Roman" w:hAnsi="Times New Roman" w:eastAsia="Tahoma" w:cs="Times New Roman"/>
          <w:i w:val="0"/>
          <w:iCs w:val="0"/>
          <w:caps w:val="0"/>
          <w:color w:val="262626"/>
          <w:spacing w:val="0"/>
          <w:sz w:val="24"/>
          <w:szCs w:val="24"/>
          <w:shd w:val="clear" w:fill="FFFFFF"/>
        </w:rPr>
        <w:t>(4), 20-25.</w:t>
      </w:r>
    </w:p>
    <w:p w14:paraId="758D4179">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b w:val="0"/>
          <w:bCs w:val="0"/>
          <w:sz w:val="24"/>
          <w:szCs w:val="24"/>
          <w:lang w:val="pl-PL" w:eastAsia="pl-PL"/>
        </w:rPr>
      </w:pPr>
      <w:r>
        <w:rPr>
          <w:rFonts w:hint="default" w:ascii="Times New Roman" w:hAnsi="Times New Roman" w:eastAsia="Tahoma" w:cs="Times New Roman"/>
          <w:i w:val="0"/>
          <w:iCs w:val="0"/>
          <w:caps w:val="0"/>
          <w:color w:val="262626"/>
          <w:spacing w:val="0"/>
          <w:sz w:val="24"/>
          <w:szCs w:val="24"/>
          <w:shd w:val="clear" w:fill="FFFFFF"/>
        </w:rPr>
        <w:t xml:space="preserve">Zukow, W., Muszkieta, R., Hagner-Derengowska, M., Smoleńska, O., Żukow, X., Fil, V. M., Kovalchuk, H. Y., Voloshyn, O. R., Kopko, I. Y., Lupak, O. M., Ivasivka, A. S., Musiyenko, O. V., Ruzhylo, S. V., Kindrat, V., &amp; Popovych, I. L. (2022a). Role of organic substances of Naftussya bioactive water in its effects on dynamic and static fitness in rats. </w:t>
      </w:r>
      <w:r>
        <w:rPr>
          <w:rStyle w:val="11"/>
          <w:rFonts w:hint="default" w:ascii="Times New Roman" w:hAnsi="Times New Roman" w:eastAsia="Tahoma" w:cs="Times New Roman"/>
          <w:i w:val="0"/>
          <w:iCs w:val="0"/>
          <w:caps w:val="0"/>
          <w:color w:val="262626"/>
          <w:spacing w:val="0"/>
          <w:sz w:val="24"/>
          <w:szCs w:val="24"/>
          <w:shd w:val="clear" w:fill="FFFFFF"/>
        </w:rPr>
        <w:t>Journal of Physical Education and Sport, 22</w:t>
      </w:r>
      <w:r>
        <w:rPr>
          <w:rFonts w:hint="default" w:ascii="Times New Roman" w:hAnsi="Times New Roman" w:eastAsia="Tahoma" w:cs="Times New Roman"/>
          <w:i w:val="0"/>
          <w:iCs w:val="0"/>
          <w:caps w:val="0"/>
          <w:color w:val="262626"/>
          <w:spacing w:val="0"/>
          <w:sz w:val="24"/>
          <w:szCs w:val="24"/>
          <w:shd w:val="clear" w:fill="FFFFFF"/>
        </w:rPr>
        <w:t xml:space="preserve">(11), 2733-2742.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"https://doi.org/10.7752/jpes.2022.11347"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https://doi.org/10.7752/jpes.2022.11347</w:t>
      </w:r>
      <w:r>
        <w:rPr>
          <w:rFonts w:hint="default" w:ascii="Times New Roman" w:hAnsi="Times New Roman" w:eastAsia="Tahoma" w:cs="Times New Roman"/>
          <w:i w:val="0"/>
          <w:iCs w:val="0"/>
          <w:caps w:val="0"/>
          <w:color w:val="1E6FFF"/>
          <w:spacing w:val="0"/>
          <w:sz w:val="24"/>
          <w:szCs w:val="24"/>
          <w:u w:val="none"/>
          <w:shd w:val="clear" w:fill="FFFFFF"/>
        </w:rPr>
        <w:fldChar w:fldCharType="end"/>
      </w:r>
    </w:p>
    <w:p w14:paraId="64187F08">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799" w:leftChars="0" w:right="0" w:rightChars="0" w:hanging="799" w:hangingChars="333"/>
        <w:jc w:val="both"/>
        <w:textAlignment w:val="auto"/>
        <w:rPr>
          <w:b w:val="0"/>
          <w:bCs w:val="0"/>
          <w:sz w:val="24"/>
          <w:szCs w:val="24"/>
          <w:lang w:val="pl-PL" w:eastAsia="pl-PL"/>
        </w:rPr>
      </w:pPr>
      <w:r>
        <w:rPr>
          <w:rFonts w:hint="default" w:ascii="Times New Roman" w:hAnsi="Times New Roman" w:eastAsia="Tahoma" w:cs="Times New Roman"/>
          <w:i w:val="0"/>
          <w:iCs w:val="0"/>
          <w:caps w:val="0"/>
          <w:color w:val="262626"/>
          <w:spacing w:val="0"/>
          <w:sz w:val="24"/>
          <w:szCs w:val="24"/>
          <w:shd w:val="clear" w:fill="FFFFFF"/>
        </w:rPr>
        <w:t xml:space="preserve">Zukow, W., Muszkieta, R., Hagner-Derengowska, M., Smoleńska, O., Żukow, X., Melnyk, O. I., Popovych, D. V., Tserkoniuk, R. G., Hryhorenko, A. M., Yanchij, R. I., Kindrat, V., &amp; Popovych, I. L. (2022b). Effects of rehabilitation at the Truskavets' spa on physical working capacity and its neural, metabolic, and hemato-immune accompaniments. </w:t>
      </w:r>
      <w:r>
        <w:rPr>
          <w:rStyle w:val="11"/>
          <w:rFonts w:hint="default" w:ascii="Times New Roman" w:hAnsi="Times New Roman" w:eastAsia="Tahoma" w:cs="Times New Roman"/>
          <w:i w:val="0"/>
          <w:iCs w:val="0"/>
          <w:caps w:val="0"/>
          <w:color w:val="262626"/>
          <w:spacing w:val="0"/>
          <w:sz w:val="24"/>
          <w:szCs w:val="24"/>
          <w:shd w:val="clear" w:fill="FFFFFF"/>
        </w:rPr>
        <w:t>Journal of Physical Education and Sport, 22</w:t>
      </w:r>
      <w:r>
        <w:rPr>
          <w:rFonts w:hint="default" w:ascii="Times New Roman" w:hAnsi="Times New Roman" w:eastAsia="Tahoma" w:cs="Times New Roman"/>
          <w:i w:val="0"/>
          <w:iCs w:val="0"/>
          <w:caps w:val="0"/>
          <w:color w:val="262626"/>
          <w:spacing w:val="0"/>
          <w:sz w:val="24"/>
          <w:szCs w:val="24"/>
          <w:shd w:val="clear" w:fill="FFFFFF"/>
        </w:rPr>
        <w:t xml:space="preserve">(11), 2708-2722. </w:t>
      </w:r>
      <w:r>
        <w:rPr>
          <w:rFonts w:hint="default" w:ascii="Times New Roman" w:hAnsi="Times New Roman" w:eastAsia="Tahoma" w:cs="Times New Roman"/>
          <w:i w:val="0"/>
          <w:iCs w:val="0"/>
          <w:caps w:val="0"/>
          <w:color w:val="1E6FFF"/>
          <w:spacing w:val="0"/>
          <w:sz w:val="24"/>
          <w:szCs w:val="24"/>
          <w:u w:val="none"/>
          <w:shd w:val="clear" w:fill="FFFFFF"/>
        </w:rPr>
        <w:fldChar w:fldCharType="begin"/>
      </w:r>
      <w:r>
        <w:rPr>
          <w:rFonts w:hint="default" w:ascii="Times New Roman" w:hAnsi="Times New Roman" w:eastAsia="Tahoma" w:cs="Times New Roman"/>
          <w:i w:val="0"/>
          <w:iCs w:val="0"/>
          <w:caps w:val="0"/>
          <w:color w:val="1E6FFF"/>
          <w:spacing w:val="0"/>
          <w:sz w:val="24"/>
          <w:szCs w:val="24"/>
          <w:u w:val="none"/>
          <w:shd w:val="clear" w:fill="FFFFFF"/>
        </w:rPr>
        <w:instrText xml:space="preserve"> HYPERLINK "https://doi.org/10.7752/jpes.2022.11344" \t "https://monica.im/home/chat/Monica/_blank" </w:instrText>
      </w:r>
      <w:r>
        <w:rPr>
          <w:rFonts w:hint="default" w:ascii="Times New Roman" w:hAnsi="Times New Roman" w:eastAsia="Tahoma" w:cs="Times New Roman"/>
          <w:i w:val="0"/>
          <w:iCs w:val="0"/>
          <w:caps w:val="0"/>
          <w:color w:val="1E6FFF"/>
          <w:spacing w:val="0"/>
          <w:sz w:val="24"/>
          <w:szCs w:val="24"/>
          <w:u w:val="none"/>
          <w:shd w:val="clear" w:fill="FFFFFF"/>
        </w:rPr>
        <w:fldChar w:fldCharType="separate"/>
      </w:r>
      <w:r>
        <w:rPr>
          <w:rStyle w:val="18"/>
          <w:rFonts w:hint="default" w:ascii="Times New Roman" w:hAnsi="Times New Roman" w:eastAsia="Tahoma" w:cs="Times New Roman"/>
          <w:i w:val="0"/>
          <w:iCs w:val="0"/>
          <w:caps w:val="0"/>
          <w:color w:val="1E6FFF"/>
          <w:spacing w:val="0"/>
          <w:sz w:val="24"/>
          <w:szCs w:val="24"/>
          <w:u w:val="none"/>
          <w:shd w:val="clear" w:fill="FFFFFF"/>
        </w:rPr>
        <w:t>https://doi.org/10.7752/jpes.2022.11344</w:t>
      </w:r>
      <w:r>
        <w:rPr>
          <w:rFonts w:hint="default" w:ascii="Times New Roman" w:hAnsi="Times New Roman" w:eastAsia="Tahoma" w:cs="Times New Roman"/>
          <w:i w:val="0"/>
          <w:iCs w:val="0"/>
          <w:caps w:val="0"/>
          <w:color w:val="1E6FFF"/>
          <w:spacing w:val="0"/>
          <w:sz w:val="24"/>
          <w:szCs w:val="24"/>
          <w:u w:val="none"/>
          <w:shd w:val="clear" w:fill="FFFFFF"/>
        </w:rPr>
        <w:fldChar w:fldCharType="end"/>
      </w: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1417" w:footer="1417" w:gutter="0"/>
      <w:lnNumType w:countBy="1" w:restart="continuous"/>
      <w:pgNumType w:fmt="decimal"/>
      <w:cols w:space="708"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EE"/>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Segoe UI">
    <w:panose1 w:val="020B0502040204020203"/>
    <w:charset w:val="EE"/>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AC6B">
    <w:pPr>
      <w:pStyle w:val="14"/>
      <w:jc w:val="both"/>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3FA09">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PTs&#10;IVUnAgAAZQQAAA4AAAAAAAAAAQAgAAAAHwEAAGRycy9lMm9Eb2MueG1sUEsFBgAAAAAGAAYAWQEA&#10;ALgFAAAAAA==&#10;">
              <v:fill on="f" focussize="0,0"/>
              <v:stroke on="f" weight="0.5pt"/>
              <v:imagedata o:title=""/>
              <o:lock v:ext="edit" aspectratio="f"/>
              <v:textbox inset="0mm,0mm,0mm,0mm" style="mso-fit-shape-to-text:t;">
                <w:txbxContent>
                  <w:p w14:paraId="2C23FA09">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9AD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C4BA">
    <w:pPr>
      <w:pStyle w:val="14"/>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0723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F6d&#10;SeEnAgAAZQQAAA4AAAAAAAAAAQAgAAAAHwEAAGRycy9lMm9Eb2MueG1sUEsFBgAAAAAGAAYAWQEA&#10;ALgFAAAAAA==&#10;">
              <v:fill on="f" focussize="0,0"/>
              <v:stroke on="f" weight="0.5pt"/>
              <v:imagedata o:title=""/>
              <o:lock v:ext="edit" aspectratio="f"/>
              <v:textbox inset="0mm,0mm,0mm,0mm" style="mso-fit-shape-to-text:t;">
                <w:txbxContent>
                  <w:p w14:paraId="1070723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5AD2">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FD95">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7CD3">
    <w:pPr>
      <w:widowControl/>
      <w:spacing w:beforeLines="0" w:afterLines="0"/>
      <w:ind w:right="-2"/>
      <w:rPr>
        <w:rFonts w:hint="default" w:ascii="Times New Roman" w:hAnsi="Times New Roman"/>
        <w:b/>
        <w:sz w:val="16"/>
        <w:szCs w:val="16"/>
        <w:lang w:val="pl-PL"/>
      </w:rPr>
    </w:pPr>
    <w:r>
      <w:rPr>
        <w:rFonts w:hint="default" w:ascii="Times New Roman" w:hAnsi="Times New Roman" w:cs="Times New Roman"/>
        <w:b/>
        <w:sz w:val="16"/>
        <w:szCs w:val="16"/>
        <w:lang w:val="pl-PL"/>
      </w:rPr>
      <w:t>Author Surname Name, Author Surname Name, Author Surname Name. Title of the Paper.</w:t>
    </w:r>
    <w:r>
      <w:rPr>
        <w:rFonts w:hint="default" w:ascii="Times New Roman" w:hAnsi="Times New Roman"/>
        <w:b/>
        <w:sz w:val="16"/>
        <w:szCs w:val="16"/>
        <w:lang w:val="pl-PL"/>
      </w:rPr>
      <w:t xml:space="preserve"> Quality in Sport. 2025;41:60222. eISSN 2450-3118.</w:t>
    </w:r>
  </w:p>
  <w:p w14:paraId="0B528053">
    <w:pPr>
      <w:widowControl/>
      <w:spacing w:beforeLines="0" w:afterLines="0"/>
      <w:ind w:right="-2"/>
      <w:rPr>
        <w:rFonts w:hint="default"/>
        <w:b/>
        <w:sz w:val="16"/>
        <w:szCs w:val="16"/>
        <w:lang w:val="pl-PL"/>
      </w:rPr>
    </w:pPr>
    <w:bookmarkStart w:id="24" w:name="_GoBack"/>
    <w:r>
      <w:rPr>
        <w:rFonts w:hint="default" w:ascii="Times New Roman" w:hAnsi="Times New Roman"/>
        <w:b/>
        <w:sz w:val="16"/>
        <w:szCs w:val="16"/>
        <w:lang w:val="pl-PL"/>
      </w:rPr>
      <w:fldChar w:fldCharType="begin"/>
    </w:r>
    <w:r>
      <w:rPr>
        <w:rFonts w:hint="default" w:ascii="Times New Roman" w:hAnsi="Times New Roman"/>
        <w:b/>
        <w:sz w:val="16"/>
        <w:szCs w:val="16"/>
        <w:lang w:val="pl-PL"/>
      </w:rPr>
      <w:instrText xml:space="preserve"> HYPERLINK "https://doi.org/10.12775/QS.2025.41.61152" </w:instrText>
    </w:r>
    <w:r>
      <w:rPr>
        <w:rFonts w:hint="default" w:ascii="Times New Roman" w:hAnsi="Times New Roman"/>
        <w:b/>
        <w:sz w:val="16"/>
        <w:szCs w:val="16"/>
        <w:lang w:val="pl-PL"/>
      </w:rPr>
      <w:fldChar w:fldCharType="separate"/>
    </w:r>
    <w:r>
      <w:rPr>
        <w:rStyle w:val="18"/>
        <w:rFonts w:hint="default" w:ascii="Times New Roman" w:hAnsi="Times New Roman"/>
        <w:b/>
        <w:sz w:val="16"/>
        <w:szCs w:val="16"/>
        <w:lang w:val="pl-PL"/>
      </w:rPr>
      <w:t>https://doi.org/10.12775/QS.2025.41.6</w:t>
    </w:r>
    <w:r>
      <w:rPr>
        <w:rStyle w:val="18"/>
        <w:rFonts w:hint="default"/>
        <w:b/>
        <w:sz w:val="16"/>
        <w:szCs w:val="16"/>
        <w:lang w:val="pl-PL"/>
      </w:rPr>
      <w:t>1152</w:t>
    </w:r>
    <w:r>
      <w:rPr>
        <w:rFonts w:hint="default" w:ascii="Times New Roman" w:hAnsi="Times New Roman"/>
        <w:b/>
        <w:sz w:val="16"/>
        <w:szCs w:val="16"/>
        <w:lang w:val="pl-PL"/>
      </w:rPr>
      <w:fldChar w:fldCharType="end"/>
    </w:r>
  </w:p>
  <w:bookmarkEnd w:id="24"/>
  <w:p w14:paraId="02544C36">
    <w:pPr>
      <w:widowControl/>
      <w:spacing w:beforeLines="0" w:afterLines="0"/>
      <w:ind w:right="-2"/>
      <w:rPr>
        <w:rFonts w:hint="default" w:ascii="Times New Roman" w:hAnsi="Times New Roman" w:cs="Times New Roman"/>
        <w:b/>
        <w:bCs/>
        <w:sz w:val="16"/>
        <w:szCs w:val="16"/>
        <w:lang w:val="pl-PL" w:eastAsia="en-US"/>
      </w:rPr>
    </w:pPr>
    <w:r>
      <w:rPr>
        <w:rFonts w:hint="default" w:ascii="Times New Roman" w:hAnsi="Times New Roman"/>
        <w:b/>
        <w:sz w:val="16"/>
        <w:szCs w:val="16"/>
        <w:lang w:val="pl-PL"/>
      </w:rPr>
      <w:fldChar w:fldCharType="begin"/>
    </w:r>
    <w:r>
      <w:rPr>
        <w:rFonts w:hint="default" w:ascii="Times New Roman" w:hAnsi="Times New Roman"/>
        <w:b/>
        <w:sz w:val="16"/>
        <w:szCs w:val="16"/>
        <w:lang w:val="pl-PL"/>
      </w:rPr>
      <w:instrText xml:space="preserve"> HYPERLINK "https://apcz.umk.pl/QS/article/view/61152" </w:instrText>
    </w:r>
    <w:r>
      <w:rPr>
        <w:rFonts w:hint="default" w:ascii="Times New Roman" w:hAnsi="Times New Roman"/>
        <w:b/>
        <w:sz w:val="16"/>
        <w:szCs w:val="16"/>
        <w:lang w:val="pl-PL"/>
      </w:rPr>
      <w:fldChar w:fldCharType="separate"/>
    </w:r>
    <w:r>
      <w:rPr>
        <w:rStyle w:val="18"/>
        <w:rFonts w:hint="default" w:ascii="Times New Roman" w:hAnsi="Times New Roman"/>
        <w:b/>
        <w:sz w:val="16"/>
        <w:szCs w:val="16"/>
        <w:lang w:val="pl-PL"/>
      </w:rPr>
      <w:t>https://apcz.umk.pl/QS/article/view/6</w:t>
    </w:r>
    <w:r>
      <w:rPr>
        <w:rStyle w:val="18"/>
        <w:rFonts w:hint="default"/>
        <w:b/>
        <w:sz w:val="16"/>
        <w:szCs w:val="16"/>
        <w:lang w:val="pl-PL"/>
      </w:rPr>
      <w:t>1152</w:t>
    </w:r>
    <w:r>
      <w:rPr>
        <w:rFonts w:hint="default" w:ascii="Times New Roman" w:hAnsi="Times New Roman"/>
        <w:b/>
        <w:sz w:val="16"/>
        <w:szCs w:val="16"/>
        <w:lang w:val="pl-PL"/>
      </w:rPr>
      <w:fldChar w:fldCharType="end"/>
    </w:r>
    <w:r>
      <w:rPr>
        <w:rFonts w:hint="default"/>
        <w:b/>
        <w:sz w:val="16"/>
        <w:szCs w:val="16"/>
        <w:lang w:val="pl-PL"/>
      </w:rPr>
      <w:t xml:space="preserve"> </w:t>
    </w:r>
    <w:r>
      <w:rPr>
        <w:rFonts w:hint="default" w:ascii="Times New Roman" w:hAnsi="Times New Roman" w:cs="Times New Roman"/>
        <w:b/>
        <w:color w:val="0000FF"/>
        <w:sz w:val="16"/>
        <w:szCs w:val="16"/>
        <w:lang w:val="pl-PL"/>
      </w:rPr>
      <w:t>(</w:t>
    </w:r>
    <w:r>
      <w:rPr>
        <w:rFonts w:hint="default" w:cs="Times New Roman"/>
        <w:b/>
        <w:color w:val="0000FF"/>
        <w:sz w:val="16"/>
        <w:szCs w:val="16"/>
        <w:lang w:val="pl-PL"/>
      </w:rPr>
      <w:t xml:space="preserve">Vancouver, </w:t>
    </w:r>
    <w:r>
      <w:rPr>
        <w:rFonts w:hint="default" w:ascii="Times New Roman" w:hAnsi="Times New Roman" w:cs="Times New Roman"/>
        <w:b/>
        <w:color w:val="0000FF"/>
        <w:sz w:val="16"/>
        <w:szCs w:val="16"/>
        <w:lang w:val="pl-PL"/>
      </w:rPr>
      <w:t>8 pt</w:t>
    </w:r>
    <w:r>
      <w:rPr>
        <w:rFonts w:hint="default" w:ascii="Times New Roman" w:hAnsi="Times New Roman" w:cs="Times New Roman"/>
        <w:b/>
        <w:color w:val="0000FF"/>
        <w:sz w:val="16"/>
        <w:szCs w:val="16"/>
        <w:lang w:val="en-US"/>
      </w:rPr>
      <w:t xml:space="preserve"> Times New Roman, Bold, Left</w:t>
    </w:r>
    <w:r>
      <w:rPr>
        <w:rFonts w:hint="default" w:ascii="Times New Roman" w:hAnsi="Times New Roman" w:cs="Times New Roman"/>
        <w:b/>
        <w:color w:val="0000FF"/>
        <w:sz w:val="16"/>
        <w:szCs w:val="16"/>
        <w:lang w:val="pl-PL"/>
      </w:rPr>
      <w:t>)</w:t>
    </w:r>
  </w:p>
  <w:p w14:paraId="3A047E0C">
    <w:pPr>
      <w:tabs>
        <w:tab w:val="center" w:pos="4153"/>
        <w:tab w:val="right" w:pos="8306"/>
      </w:tabs>
      <w:jc w:val="both"/>
      <w:rPr>
        <w:rFonts w:hint="default" w:ascii="Times New Roman" w:hAnsi="Times New Roman" w:cs="Times New Roman"/>
        <w:b/>
        <w:sz w:val="16"/>
        <w:szCs w:val="16"/>
        <w:lang w:val="pl-PL"/>
      </w:rPr>
    </w:pPr>
  </w:p>
  <w:p w14:paraId="3A0BDF31">
    <w:pPr>
      <w:tabs>
        <w:tab w:val="center" w:pos="4153"/>
        <w:tab w:val="right" w:pos="8306"/>
      </w:tabs>
      <w:jc w:val="both"/>
      <w:rPr>
        <w:rFonts w:hint="default" w:ascii="Times New Roman" w:hAnsi="Times New Roman" w:cs="Times New Roman"/>
        <w:b/>
        <w:sz w:val="16"/>
        <w:szCs w:val="16"/>
        <w:lang w:val="pl-PL"/>
      </w:rPr>
    </w:pPr>
  </w:p>
  <w:p w14:paraId="3F864282">
    <w:pPr>
      <w:tabs>
        <w:tab w:val="center" w:pos="4153"/>
        <w:tab w:val="right" w:pos="8306"/>
      </w:tabs>
      <w:jc w:val="both"/>
      <w:rPr>
        <w:rFonts w:hint="default" w:ascii="Times New Roman" w:hAnsi="Times New Roman" w:cs="Times New Roman"/>
        <w:b/>
        <w:sz w:val="16"/>
        <w:szCs w:val="16"/>
        <w:lang w:val="pl-PL"/>
      </w:rPr>
    </w:pPr>
  </w:p>
  <w:p w14:paraId="454BB6A1">
    <w:pPr>
      <w:tabs>
        <w:tab w:val="center" w:pos="4153"/>
        <w:tab w:val="right" w:pos="8306"/>
      </w:tabs>
      <w:jc w:val="both"/>
      <w:rPr>
        <w:rFonts w:hint="default" w:ascii="Times New Roman" w:hAnsi="Times New Roman" w:cs="Times New Roman"/>
        <w:b/>
        <w:sz w:val="16"/>
        <w:szCs w:val="16"/>
        <w:lang w:val="pl-PL"/>
      </w:rPr>
    </w:pPr>
  </w:p>
  <w:p w14:paraId="4F99B20B">
    <w:pPr>
      <w:tabs>
        <w:tab w:val="center" w:pos="4153"/>
        <w:tab w:val="right" w:pos="8306"/>
      </w:tabs>
      <w:jc w:val="both"/>
      <w:rPr>
        <w:rFonts w:hint="default" w:ascii="Times New Roman" w:hAnsi="Times New Roman" w:cs="Times New Roman"/>
        <w:b/>
        <w:sz w:val="16"/>
        <w:szCs w:val="16"/>
        <w:lang w:val="pl-PL"/>
      </w:rPr>
    </w:pPr>
  </w:p>
  <w:p w14:paraId="11A32925">
    <w:pPr>
      <w:widowControl/>
      <w:spacing w:beforeLines="0" w:afterLines="0"/>
      <w:ind w:right="-2"/>
      <w:rPr>
        <w:rFonts w:hint="default" w:ascii="Times New Roman" w:hAnsi="Times New Roman"/>
        <w:b/>
        <w:sz w:val="16"/>
        <w:szCs w:val="16"/>
      </w:rPr>
    </w:pPr>
    <w:r>
      <w:rPr>
        <w:rFonts w:hint="default" w:ascii="Times New Roman" w:hAnsi="Times New Roman" w:cs="Times New Roman"/>
        <w:b/>
        <w:sz w:val="16"/>
        <w:szCs w:val="16"/>
        <w:lang w:val="pl-PL"/>
      </w:rPr>
      <w:t xml:space="preserve">Author Surname Name, Author Surname Name, Author Surname Name (2025). Title of the Paper. </w:t>
    </w:r>
    <w:r>
      <w:rPr>
        <w:rFonts w:hint="default" w:ascii="Times New Roman" w:hAnsi="Times New Roman"/>
        <w:b/>
        <w:sz w:val="16"/>
        <w:szCs w:val="16"/>
      </w:rPr>
      <w:t>Quality in Sport</w:t>
    </w:r>
    <w:r>
      <w:rPr>
        <w:rFonts w:hint="default"/>
        <w:b/>
        <w:sz w:val="16"/>
        <w:szCs w:val="16"/>
        <w:lang w:val="pl-PL"/>
      </w:rPr>
      <w:t>,</w:t>
    </w:r>
    <w:r>
      <w:rPr>
        <w:rFonts w:hint="default" w:ascii="Times New Roman" w:hAnsi="Times New Roman"/>
        <w:b/>
        <w:sz w:val="16"/>
        <w:szCs w:val="16"/>
      </w:rPr>
      <w:t xml:space="preserve"> 41</w:t>
    </w:r>
    <w:r>
      <w:rPr>
        <w:rFonts w:hint="default"/>
        <w:b/>
        <w:sz w:val="16"/>
        <w:szCs w:val="16"/>
        <w:lang w:val="pl-PL"/>
      </w:rPr>
      <w:t xml:space="preserve">, </w:t>
    </w:r>
    <w:r>
      <w:rPr>
        <w:rFonts w:hint="default" w:ascii="Times New Roman" w:hAnsi="Times New Roman"/>
        <w:b/>
        <w:sz w:val="16"/>
        <w:szCs w:val="16"/>
      </w:rPr>
      <w:t>60222. eISSN 2450-3118.</w:t>
    </w:r>
  </w:p>
  <w:p w14:paraId="11B89CDD">
    <w:pPr>
      <w:widowControl/>
      <w:spacing w:beforeLines="0" w:afterLines="0"/>
      <w:ind w:right="-2"/>
      <w:rPr>
        <w:rFonts w:hint="default"/>
        <w:b/>
        <w:sz w:val="16"/>
        <w:szCs w:val="16"/>
        <w:lang w:val="pl-PL"/>
      </w:rPr>
    </w:pPr>
    <w:r>
      <w:rPr>
        <w:rFonts w:hint="default" w:ascii="Times New Roman" w:hAnsi="Times New Roman"/>
        <w:b/>
        <w:sz w:val="16"/>
        <w:szCs w:val="16"/>
        <w:lang w:val="pl-PL"/>
      </w:rPr>
      <w:fldChar w:fldCharType="begin"/>
    </w:r>
    <w:r>
      <w:rPr>
        <w:rFonts w:hint="default" w:ascii="Times New Roman" w:hAnsi="Times New Roman"/>
        <w:b/>
        <w:sz w:val="16"/>
        <w:szCs w:val="16"/>
        <w:lang w:val="pl-PL"/>
      </w:rPr>
      <w:instrText xml:space="preserve"> HYPERLINK "https://doi.org/10.12775/QS.2025.41.61152" </w:instrText>
    </w:r>
    <w:r>
      <w:rPr>
        <w:rFonts w:hint="default" w:ascii="Times New Roman" w:hAnsi="Times New Roman"/>
        <w:b/>
        <w:sz w:val="16"/>
        <w:szCs w:val="16"/>
        <w:lang w:val="pl-PL"/>
      </w:rPr>
      <w:fldChar w:fldCharType="separate"/>
    </w:r>
    <w:r>
      <w:rPr>
        <w:rStyle w:val="18"/>
        <w:rFonts w:hint="default" w:ascii="Times New Roman" w:hAnsi="Times New Roman"/>
        <w:b/>
        <w:sz w:val="16"/>
        <w:szCs w:val="16"/>
        <w:lang w:val="pl-PL"/>
      </w:rPr>
      <w:t>https://doi.org/10.12775/QS.2025.41.6</w:t>
    </w:r>
    <w:r>
      <w:rPr>
        <w:rStyle w:val="18"/>
        <w:rFonts w:hint="default"/>
        <w:b/>
        <w:sz w:val="16"/>
        <w:szCs w:val="16"/>
        <w:lang w:val="pl-PL"/>
      </w:rPr>
      <w:t>1152</w:t>
    </w:r>
    <w:r>
      <w:rPr>
        <w:rFonts w:hint="default" w:ascii="Times New Roman" w:hAnsi="Times New Roman"/>
        <w:b/>
        <w:sz w:val="16"/>
        <w:szCs w:val="16"/>
        <w:lang w:val="pl-PL"/>
      </w:rPr>
      <w:fldChar w:fldCharType="end"/>
    </w:r>
  </w:p>
  <w:p w14:paraId="3B32B11E">
    <w:pPr>
      <w:widowControl/>
      <w:spacing w:beforeLines="0" w:afterLines="0"/>
      <w:ind w:right="-2"/>
      <w:rPr>
        <w:rFonts w:hint="default" w:ascii="Times New Roman" w:hAnsi="Times New Roman" w:cs="Times New Roman"/>
        <w:b/>
        <w:bCs/>
        <w:sz w:val="16"/>
        <w:szCs w:val="16"/>
        <w:lang w:val="pl-PL" w:eastAsia="en-US"/>
      </w:rPr>
    </w:pPr>
    <w:r>
      <w:rPr>
        <w:rFonts w:hint="default" w:ascii="Times New Roman" w:hAnsi="Times New Roman"/>
        <w:b/>
        <w:sz w:val="16"/>
        <w:szCs w:val="16"/>
        <w:lang w:val="pl-PL"/>
      </w:rPr>
      <w:fldChar w:fldCharType="begin"/>
    </w:r>
    <w:r>
      <w:rPr>
        <w:rFonts w:hint="default" w:ascii="Times New Roman" w:hAnsi="Times New Roman"/>
        <w:b/>
        <w:sz w:val="16"/>
        <w:szCs w:val="16"/>
        <w:lang w:val="pl-PL"/>
      </w:rPr>
      <w:instrText xml:space="preserve"> HYPERLINK "https://apcz.umk.pl/QS/article/view/61152" </w:instrText>
    </w:r>
    <w:r>
      <w:rPr>
        <w:rFonts w:hint="default" w:ascii="Times New Roman" w:hAnsi="Times New Roman"/>
        <w:b/>
        <w:sz w:val="16"/>
        <w:szCs w:val="16"/>
        <w:lang w:val="pl-PL"/>
      </w:rPr>
      <w:fldChar w:fldCharType="separate"/>
    </w:r>
    <w:r>
      <w:rPr>
        <w:rStyle w:val="18"/>
        <w:rFonts w:hint="default" w:ascii="Times New Roman" w:hAnsi="Times New Roman"/>
        <w:b/>
        <w:sz w:val="16"/>
        <w:szCs w:val="16"/>
        <w:lang w:val="pl-PL"/>
      </w:rPr>
      <w:t>https://apcz.umk.pl/QS/article/view/6</w:t>
    </w:r>
    <w:r>
      <w:rPr>
        <w:rStyle w:val="18"/>
        <w:rFonts w:hint="default"/>
        <w:b/>
        <w:sz w:val="16"/>
        <w:szCs w:val="16"/>
        <w:lang w:val="pl-PL"/>
      </w:rPr>
      <w:t>1152</w:t>
    </w:r>
    <w:r>
      <w:rPr>
        <w:rFonts w:hint="default" w:ascii="Times New Roman" w:hAnsi="Times New Roman"/>
        <w:b/>
        <w:sz w:val="16"/>
        <w:szCs w:val="16"/>
        <w:lang w:val="pl-PL"/>
      </w:rPr>
      <w:fldChar w:fldCharType="end"/>
    </w:r>
    <w:r>
      <w:rPr>
        <w:rFonts w:hint="default" w:ascii="Times New Roman" w:hAnsi="Times New Roman"/>
        <w:b/>
        <w:sz w:val="16"/>
        <w:szCs w:val="16"/>
        <w:lang w:val="pl-PL"/>
      </w:rPr>
      <w:t xml:space="preserve"> </w:t>
    </w:r>
    <w:r>
      <w:rPr>
        <w:rFonts w:hint="default" w:ascii="Times New Roman" w:hAnsi="Times New Roman" w:cs="Times New Roman"/>
        <w:b/>
        <w:color w:val="0000FF"/>
        <w:sz w:val="16"/>
        <w:szCs w:val="16"/>
        <w:lang w:val="pl-PL"/>
      </w:rPr>
      <w:t>(</w:t>
    </w:r>
    <w:r>
      <w:rPr>
        <w:rFonts w:hint="default" w:cs="Times New Roman"/>
        <w:b/>
        <w:color w:val="0000FF"/>
        <w:sz w:val="16"/>
        <w:szCs w:val="16"/>
        <w:lang w:val="pl-PL"/>
      </w:rPr>
      <w:t xml:space="preserve">APA 7, </w:t>
    </w:r>
    <w:r>
      <w:rPr>
        <w:rFonts w:hint="default" w:ascii="Times New Roman" w:hAnsi="Times New Roman" w:cs="Times New Roman"/>
        <w:b/>
        <w:color w:val="0000FF"/>
        <w:sz w:val="16"/>
        <w:szCs w:val="16"/>
        <w:lang w:val="pl-PL"/>
      </w:rPr>
      <w:t>8 pt</w:t>
    </w:r>
    <w:r>
      <w:rPr>
        <w:rFonts w:hint="default" w:ascii="Times New Roman" w:hAnsi="Times New Roman" w:cs="Times New Roman"/>
        <w:b/>
        <w:color w:val="0000FF"/>
        <w:sz w:val="16"/>
        <w:szCs w:val="16"/>
        <w:lang w:val="en-US"/>
      </w:rPr>
      <w:t xml:space="preserve"> Times New Roman, Bold, Left</w:t>
    </w:r>
    <w:r>
      <w:rPr>
        <w:rFonts w:hint="default" w:ascii="Times New Roman" w:hAnsi="Times New Roman" w:cs="Times New Roman"/>
        <w:b/>
        <w:color w:val="0000FF"/>
        <w:sz w:val="16"/>
        <w:szCs w:val="16"/>
        <w:lang w:val="pl-PL"/>
      </w:rPr>
      <w:t>)</w:t>
    </w:r>
  </w:p>
  <w:p w14:paraId="31A22346">
    <w:pPr>
      <w:widowControl/>
      <w:spacing w:beforeLines="0" w:afterLines="0"/>
      <w:ind w:right="-2"/>
      <w:rPr>
        <w:b/>
        <w:bCs/>
        <w:sz w:val="16"/>
        <w:szCs w:val="16"/>
        <w:lang w:val="en-US" w:eastAsia="en-US"/>
      </w:rPr>
    </w:pPr>
  </w:p>
  <w:p w14:paraId="70E8D3F1">
    <w:pPr>
      <w:widowControl/>
      <w:spacing w:beforeLines="0" w:afterLines="0"/>
      <w:ind w:right="-2"/>
      <w:rPr>
        <w:b/>
        <w:bCs/>
        <w:sz w:val="16"/>
        <w:szCs w:val="16"/>
        <w:lang w:val="en-US" w:eastAsia="en-US"/>
      </w:rPr>
    </w:pPr>
  </w:p>
  <w:p w14:paraId="682215B6">
    <w:pPr>
      <w:widowControl/>
      <w:spacing w:beforeLines="0" w:afterLines="0"/>
      <w:ind w:right="-2"/>
      <w:rPr>
        <w:b/>
        <w:bCs/>
        <w:sz w:val="16"/>
        <w:szCs w:val="16"/>
        <w:lang w:val="en-US" w:eastAsia="en-US"/>
      </w:rPr>
    </w:pPr>
  </w:p>
  <w:p w14:paraId="3186A9F2">
    <w:pPr>
      <w:widowControl/>
      <w:spacing w:beforeLines="0" w:afterLines="0"/>
      <w:ind w:right="-2"/>
      <w:rPr>
        <w:b/>
        <w:bCs/>
        <w:sz w:val="16"/>
        <w:szCs w:val="16"/>
        <w:lang w:val="en-US" w:eastAsia="en-US"/>
      </w:rPr>
    </w:pPr>
  </w:p>
  <w:p w14:paraId="0EC3F03D">
    <w:pPr>
      <w:widowControl/>
      <w:spacing w:beforeLines="0" w:afterLines="0"/>
      <w:ind w:right="-2"/>
      <w:rPr>
        <w:b/>
        <w:bCs/>
        <w:sz w:val="16"/>
        <w:szCs w:val="16"/>
        <w:lang w:val="en-US" w:eastAsia="en-US"/>
      </w:rPr>
    </w:pPr>
  </w:p>
  <w:p w14:paraId="15261041">
    <w:pPr>
      <w:tabs>
        <w:tab w:val="center" w:pos="4153"/>
        <w:tab w:val="right" w:pos="8306"/>
      </w:tabs>
      <w:jc w:val="both"/>
      <w:rPr>
        <w:b/>
        <w:bCs/>
        <w:sz w:val="16"/>
        <w:szCs w:val="16"/>
      </w:rPr>
    </w:pPr>
    <w:r>
      <w:rPr>
        <w:b/>
        <w:bCs/>
        <w:sz w:val="16"/>
        <w:szCs w:val="16"/>
      </w:rPr>
      <w:t xml:space="preserve">The journal has </w:t>
    </w:r>
    <w:r>
      <w:rPr>
        <w:b/>
        <w:bCs/>
        <w:sz w:val="16"/>
        <w:szCs w:val="16"/>
        <w:lang w:val="pl-PL"/>
      </w:rPr>
      <w:t xml:space="preserve">been awarded </w:t>
    </w:r>
    <w:r>
      <w:rPr>
        <w:b/>
        <w:bCs/>
        <w:sz w:val="16"/>
        <w:szCs w:val="16"/>
      </w:rPr>
      <w:t>20 points in the Ministry of Higher Education and Science of Poland parametric evaluation. Annex to the announcement of the Minister of Higher Education and Science of 05.01.2024. No. 32553.</w:t>
    </w:r>
  </w:p>
  <w:p w14:paraId="0C5113A3">
    <w:pPr>
      <w:tabs>
        <w:tab w:val="center" w:pos="4153"/>
        <w:tab w:val="right" w:pos="8306"/>
      </w:tabs>
      <w:jc w:val="both"/>
      <w:rPr>
        <w:b/>
        <w:bCs/>
        <w:sz w:val="16"/>
        <w:szCs w:val="16"/>
      </w:rPr>
    </w:pPr>
    <w:r>
      <w:rPr>
        <w:b/>
        <w:bCs/>
        <w:sz w:val="16"/>
        <w:szCs w:val="16"/>
      </w:rPr>
      <w:t>Has a Journal's Unique Identifier: 201398. Scientific disciplines assigned: Economics and finance (Field of social sciences); Management and Quality Sciences (Field of social sciences).</w:t>
    </w:r>
  </w:p>
  <w:p w14:paraId="747F37F5">
    <w:pPr>
      <w:tabs>
        <w:tab w:val="center" w:pos="4153"/>
        <w:tab w:val="right" w:pos="8306"/>
      </w:tabs>
      <w:jc w:val="both"/>
      <w:rPr>
        <w:b/>
        <w:bCs/>
        <w:sz w:val="16"/>
        <w:szCs w:val="16"/>
        <w:lang w:val="pl-PL"/>
      </w:rPr>
    </w:pPr>
    <w:r>
      <w:rPr>
        <w:b/>
        <w:bCs/>
        <w:sz w:val="16"/>
        <w:szCs w:val="16"/>
        <w:lang w:val="pl-PL"/>
      </w:rPr>
      <w:t>Punkty Ministerialne z 2019 - aktualny rok 20 punktów. Załącznik do komunikatu Ministra Szkolnictwa Wyższego i Nauki z dnia 05.01.2024 r. Lp. 32553. Posiada Unikatowy Identyfikator Czasopisma: 201398.</w:t>
    </w:r>
  </w:p>
  <w:p w14:paraId="0B6EAD87">
    <w:pPr>
      <w:tabs>
        <w:tab w:val="center" w:pos="4153"/>
        <w:tab w:val="right" w:pos="8306"/>
      </w:tabs>
      <w:jc w:val="both"/>
      <w:rPr>
        <w:b/>
        <w:bCs/>
        <w:sz w:val="16"/>
        <w:szCs w:val="16"/>
        <w:lang w:val="pl-PL"/>
      </w:rPr>
    </w:pPr>
    <w:r>
      <w:rPr>
        <w:b/>
        <w:bCs/>
        <w:sz w:val="16"/>
        <w:szCs w:val="16"/>
        <w:lang w:val="pl-PL"/>
      </w:rPr>
      <w:t>Przypisane dyscypliny naukowe: Ekonomia i finanse (Dziedzina nauk społecznych); Nauki o zarządzaniu i jakości (Dziedzina nauk społecznych).</w:t>
    </w:r>
  </w:p>
  <w:p w14:paraId="21F2971E">
    <w:pPr>
      <w:tabs>
        <w:tab w:val="center" w:pos="4153"/>
        <w:tab w:val="right" w:pos="8306"/>
      </w:tabs>
      <w:jc w:val="both"/>
      <w:rPr>
        <w:b/>
        <w:bCs/>
        <w:sz w:val="16"/>
        <w:szCs w:val="16"/>
      </w:rPr>
    </w:pPr>
    <w:r>
      <w:rPr>
        <w:b/>
        <w:bCs/>
        <w:sz w:val="16"/>
        <w:szCs w:val="16"/>
      </w:rPr>
      <w:t>© The Authors 2025;</w:t>
    </w:r>
  </w:p>
  <w:p w14:paraId="40E395ED">
    <w:pPr>
      <w:tabs>
        <w:tab w:val="center" w:pos="4153"/>
        <w:tab w:val="right" w:pos="8306"/>
      </w:tabs>
      <w:jc w:val="both"/>
      <w:rPr>
        <w:b/>
        <w:bCs/>
        <w:sz w:val="16"/>
        <w:szCs w:val="16"/>
      </w:rPr>
    </w:pPr>
    <w:r>
      <w:rPr>
        <w:b/>
        <w:bCs/>
        <w:sz w:val="16"/>
        <w:szCs w:val="16"/>
      </w:rPr>
      <w:t xml:space="preserve">This article is published with open access </w:t>
    </w:r>
    <w:r>
      <w:rPr>
        <w:b/>
        <w:bCs/>
        <w:sz w:val="16"/>
        <w:szCs w:val="16"/>
        <w:lang w:val="pl-PL"/>
      </w:rPr>
      <w:t>by</w:t>
    </w:r>
    <w:r>
      <w:rPr>
        <w:b/>
        <w:bCs/>
        <w:sz w:val="16"/>
        <w:szCs w:val="16"/>
      </w:rPr>
      <w:t xml:space="preserve"> Licensee Open Journal Systems of Nicolaus Copernicus University in Torun, Poland</w:t>
    </w:r>
  </w:p>
  <w:p w14:paraId="3348E880">
    <w:pPr>
      <w:tabs>
        <w:tab w:val="center" w:pos="4153"/>
        <w:tab w:val="right" w:pos="8306"/>
      </w:tabs>
      <w:jc w:val="both"/>
      <w:rPr>
        <w:b/>
        <w:bCs/>
        <w:sz w:val="16"/>
        <w:szCs w:val="16"/>
      </w:rPr>
    </w:pPr>
    <w:r>
      <w:rPr>
        <w:b/>
        <w:bCs/>
        <w:sz w:val="16"/>
        <w:szCs w:val="16"/>
      </w:rPr>
      <w:t xml:space="preserve">Open Access. This article is distributed under the terms of the Creative Commons Attribution Noncommercial </w:t>
    </w:r>
    <w:r>
      <w:rPr>
        <w:b/>
        <w:bCs/>
        <w:sz w:val="16"/>
        <w:szCs w:val="16"/>
        <w:lang w:val="pl-PL"/>
      </w:rPr>
      <w:t>License,</w:t>
    </w:r>
    <w:r>
      <w:rPr>
        <w:b/>
        <w:bCs/>
        <w:sz w:val="16"/>
        <w:szCs w:val="16"/>
      </w:rPr>
      <w:t xml:space="preserve"> which permits any noncommercial use, distribution, and reproduction in any medium, provided the original </w:t>
    </w:r>
    <w:r>
      <w:rPr>
        <w:b/>
        <w:bCs/>
        <w:sz w:val="16"/>
        <w:szCs w:val="16"/>
        <w:lang w:val="pl-PL"/>
      </w:rPr>
      <w:t>author</w:t>
    </w:r>
    <w:r>
      <w:rPr>
        <w:b/>
        <w:bCs/>
        <w:sz w:val="16"/>
        <w:szCs w:val="16"/>
      </w:rPr>
      <w:t xml:space="preserve">(s) and source are credited. This is an open access article licensed under the terms of the Creative Commons Attribution Non commercial license Share alike. (http://creativecommons.org/licenses/by-nc-sa/4.0/) which permits unrestricted, </w:t>
    </w:r>
    <w:r>
      <w:rPr>
        <w:b/>
        <w:bCs/>
        <w:sz w:val="16"/>
        <w:szCs w:val="16"/>
        <w:lang w:val="pl-PL"/>
      </w:rPr>
      <w:t xml:space="preserve">noncommercial </w:t>
    </w:r>
    <w:r>
      <w:rPr>
        <w:b/>
        <w:bCs/>
        <w:sz w:val="16"/>
        <w:szCs w:val="16"/>
      </w:rPr>
      <w:t xml:space="preserve">use, </w:t>
    </w:r>
    <w:r>
      <w:rPr>
        <w:b/>
        <w:bCs/>
        <w:sz w:val="16"/>
        <w:szCs w:val="16"/>
        <w:lang w:val="pl-PL"/>
      </w:rPr>
      <w:t>distribution,</w:t>
    </w:r>
    <w:r>
      <w:rPr>
        <w:b/>
        <w:bCs/>
        <w:sz w:val="16"/>
        <w:szCs w:val="16"/>
      </w:rPr>
      <w:t xml:space="preserve"> and reproduction in any medium, provided the work is properly cited.</w:t>
    </w:r>
  </w:p>
  <w:p w14:paraId="5C2E2A4F">
    <w:pPr>
      <w:tabs>
        <w:tab w:val="center" w:pos="4153"/>
        <w:tab w:val="right" w:pos="8306"/>
      </w:tabs>
      <w:jc w:val="both"/>
      <w:rPr>
        <w:rFonts w:hint="default"/>
        <w:b/>
        <w:bCs/>
        <w:sz w:val="16"/>
        <w:szCs w:val="16"/>
        <w:lang w:val="pl-PL"/>
      </w:rPr>
    </w:pPr>
    <w:r>
      <w:rPr>
        <w:b/>
        <w:bCs/>
        <w:sz w:val="16"/>
        <w:szCs w:val="16"/>
      </w:rPr>
      <w:t xml:space="preserve">Received: </w:t>
    </w:r>
    <w:r>
      <w:rPr>
        <w:rFonts w:hint="default"/>
        <w:b/>
        <w:bCs/>
        <w:sz w:val="16"/>
        <w:szCs w:val="16"/>
        <w:lang w:val="pl-PL"/>
      </w:rPr>
      <w:t>10</w:t>
    </w:r>
    <w:r>
      <w:rPr>
        <w:b/>
        <w:bCs/>
        <w:sz w:val="16"/>
        <w:szCs w:val="16"/>
      </w:rPr>
      <w:t>.0</w:t>
    </w:r>
    <w:r>
      <w:rPr>
        <w:rFonts w:hint="default"/>
        <w:b/>
        <w:bCs/>
        <w:sz w:val="16"/>
        <w:szCs w:val="16"/>
        <w:lang w:val="pl-PL"/>
      </w:rPr>
      <w:t>4</w:t>
    </w:r>
    <w:r>
      <w:rPr>
        <w:b/>
        <w:bCs/>
        <w:sz w:val="16"/>
        <w:szCs w:val="16"/>
      </w:rPr>
      <w:t>.2025. Revised: 2</w:t>
    </w:r>
    <w:r>
      <w:rPr>
        <w:rFonts w:hint="default"/>
        <w:b/>
        <w:bCs/>
        <w:sz w:val="16"/>
        <w:szCs w:val="16"/>
        <w:lang w:val="pl-PL"/>
      </w:rPr>
      <w:t>5</w:t>
    </w:r>
    <w:r>
      <w:rPr>
        <w:b/>
        <w:bCs/>
        <w:sz w:val="16"/>
        <w:szCs w:val="16"/>
      </w:rPr>
      <w:t>.0</w:t>
    </w:r>
    <w:r>
      <w:rPr>
        <w:rFonts w:hint="default"/>
        <w:b/>
        <w:bCs/>
        <w:sz w:val="16"/>
        <w:szCs w:val="16"/>
        <w:lang w:val="pl-PL"/>
      </w:rPr>
      <w:t>4</w:t>
    </w:r>
    <w:r>
      <w:rPr>
        <w:b/>
        <w:bCs/>
        <w:sz w:val="16"/>
        <w:szCs w:val="16"/>
      </w:rPr>
      <w:t xml:space="preserve">.2025. Accepted: </w:t>
    </w:r>
    <w:r>
      <w:rPr>
        <w:rFonts w:hint="default"/>
        <w:b/>
        <w:bCs/>
        <w:sz w:val="16"/>
        <w:szCs w:val="16"/>
        <w:lang w:val="pl-PL"/>
      </w:rPr>
      <w:t>04</w:t>
    </w:r>
    <w:r>
      <w:rPr>
        <w:b/>
        <w:bCs/>
        <w:sz w:val="16"/>
        <w:szCs w:val="16"/>
      </w:rPr>
      <w:t>.0</w:t>
    </w:r>
    <w:r>
      <w:rPr>
        <w:rFonts w:hint="default"/>
        <w:b/>
        <w:bCs/>
        <w:sz w:val="16"/>
        <w:szCs w:val="16"/>
        <w:lang w:val="pl-PL"/>
      </w:rPr>
      <w:t>5</w:t>
    </w:r>
    <w:r>
      <w:rPr>
        <w:b/>
        <w:bCs/>
        <w:sz w:val="16"/>
        <w:szCs w:val="16"/>
      </w:rPr>
      <w:t>.2025</w:t>
    </w:r>
    <w:r>
      <w:rPr>
        <w:rFonts w:hint="default"/>
        <w:b/>
        <w:bCs/>
        <w:sz w:val="16"/>
        <w:szCs w:val="16"/>
        <w:lang w:val="pl-PL"/>
      </w:rPr>
      <w:t>.</w:t>
    </w:r>
    <w:r>
      <w:rPr>
        <w:b/>
        <w:bCs/>
        <w:sz w:val="16"/>
        <w:szCs w:val="16"/>
      </w:rPr>
      <w:t xml:space="preserve"> Published: </w:t>
    </w:r>
    <w:r>
      <w:rPr>
        <w:rFonts w:hint="default"/>
        <w:b/>
        <w:bCs/>
        <w:sz w:val="16"/>
        <w:szCs w:val="16"/>
        <w:lang w:val="pl-PL"/>
      </w:rPr>
      <w:t>10</w:t>
    </w:r>
    <w:r>
      <w:rPr>
        <w:b/>
        <w:bCs/>
        <w:sz w:val="16"/>
        <w:szCs w:val="16"/>
      </w:rPr>
      <w:t>.0</w:t>
    </w:r>
    <w:r>
      <w:rPr>
        <w:rFonts w:hint="default"/>
        <w:b/>
        <w:bCs/>
        <w:sz w:val="16"/>
        <w:szCs w:val="16"/>
        <w:lang w:val="pl-PL"/>
      </w:rPr>
      <w:t>5</w:t>
    </w:r>
    <w:r>
      <w:rPr>
        <w:b/>
        <w:bCs/>
        <w:sz w:val="16"/>
        <w:szCs w:val="16"/>
      </w:rPr>
      <w:t>.2025.</w:t>
    </w:r>
    <w:r>
      <w:rPr>
        <w:rFonts w:hint="default"/>
        <w:b/>
        <w:bCs/>
        <w:sz w:val="16"/>
        <w:szCs w:val="16"/>
        <w:lang w:val="pl-PL"/>
      </w:rPr>
      <w:t xml:space="preserve"> </w:t>
    </w:r>
    <w:r>
      <w:rPr>
        <w:rFonts w:hint="default" w:ascii="Times New Roman" w:hAnsi="Times New Roman" w:cs="Times New Roman"/>
        <w:b/>
        <w:bCs/>
        <w:color w:val="0000FF"/>
        <w:sz w:val="16"/>
        <w:szCs w:val="16"/>
        <w:lang w:val="pl-PL"/>
      </w:rPr>
      <w:t>(8 pt</w:t>
    </w:r>
    <w:r>
      <w:rPr>
        <w:rFonts w:hint="default" w:ascii="Times New Roman" w:hAnsi="Times New Roman" w:cs="Times New Roman"/>
        <w:b/>
        <w:bCs/>
        <w:color w:val="0000FF"/>
        <w:sz w:val="16"/>
        <w:szCs w:val="16"/>
        <w:lang w:val="en-US"/>
      </w:rPr>
      <w:t xml:space="preserve"> Times New Roman, Bold, Left</w:t>
    </w:r>
    <w:r>
      <w:rPr>
        <w:rFonts w:hint="default" w:ascii="Times New Roman" w:hAnsi="Times New Roman" w:cs="Times New Roman"/>
        <w:b/>
        <w:bCs/>
        <w:color w:val="0000FF"/>
        <w:sz w:val="16"/>
        <w:szCs w:val="16"/>
        <w:lang w:val="pl-PL"/>
      </w:rPr>
      <w:t>)</w:t>
    </w:r>
  </w:p>
  <w:p w14:paraId="69E26C00">
    <w:pPr>
      <w:widowControl/>
      <w:spacing w:beforeLines="0" w:afterLines="0"/>
      <w:ind w:right="-2"/>
      <w:rPr>
        <w:b/>
        <w:bCs/>
        <w:sz w:val="24"/>
        <w:szCs w:val="24"/>
        <w:lang w:val="en-US" w:eastAsia="en-US"/>
      </w:rPr>
    </w:pPr>
  </w:p>
  <w:p w14:paraId="4389419A">
    <w:pPr>
      <w:widowControl/>
      <w:spacing w:beforeLines="0" w:afterLines="0"/>
      <w:ind w:right="-2"/>
      <w:rPr>
        <w:b/>
        <w:bCs/>
        <w:sz w:val="24"/>
        <w:szCs w:val="24"/>
        <w:lang w:val="en-US" w:eastAsia="en-US"/>
      </w:rPr>
    </w:pPr>
  </w:p>
  <w:p w14:paraId="2AAB4720">
    <w:pPr>
      <w:widowControl/>
      <w:spacing w:beforeLines="0" w:afterLines="0"/>
      <w:ind w:right="-2"/>
      <w:rPr>
        <w:b/>
        <w:bCs/>
        <w:sz w:val="24"/>
        <w:szCs w:val="24"/>
        <w:lang w:val="en-US" w:eastAsia="en-US"/>
      </w:rPr>
    </w:pPr>
  </w:p>
  <w:p w14:paraId="1F63F6EE">
    <w:pPr>
      <w:widowControl/>
      <w:spacing w:beforeLines="0" w:afterLines="0"/>
      <w:ind w:right="-2"/>
      <w:rPr>
        <w:b/>
        <w:bCs/>
        <w:sz w:val="24"/>
        <w:szCs w:val="24"/>
        <w:lang w:val="en-US" w:eastAsia="en-US"/>
      </w:rPr>
    </w:pPr>
  </w:p>
  <w:p w14:paraId="23F896AC">
    <w:pPr>
      <w:widowControl/>
      <w:spacing w:beforeLines="0" w:afterLines="0"/>
      <w:ind w:right="-2"/>
      <w:rPr>
        <w:b/>
        <w:bCs/>
        <w:sz w:val="24"/>
        <w:szCs w:val="24"/>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B971C"/>
    <w:multiLevelType w:val="multilevel"/>
    <w:tmpl w:val="045B971C"/>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hyphenationZone w:val="425"/>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FE"/>
    <w:rsid w:val="00021613"/>
    <w:rsid w:val="000239BE"/>
    <w:rsid w:val="00026398"/>
    <w:rsid w:val="00055A4A"/>
    <w:rsid w:val="000833BC"/>
    <w:rsid w:val="000A3463"/>
    <w:rsid w:val="000B5407"/>
    <w:rsid w:val="000D0796"/>
    <w:rsid w:val="000D6A10"/>
    <w:rsid w:val="000E3B94"/>
    <w:rsid w:val="000E79EB"/>
    <w:rsid w:val="001118C1"/>
    <w:rsid w:val="00113860"/>
    <w:rsid w:val="00127EBA"/>
    <w:rsid w:val="00145474"/>
    <w:rsid w:val="00155177"/>
    <w:rsid w:val="00170D32"/>
    <w:rsid w:val="00172416"/>
    <w:rsid w:val="00195822"/>
    <w:rsid w:val="001B1441"/>
    <w:rsid w:val="001F2DBD"/>
    <w:rsid w:val="001F4770"/>
    <w:rsid w:val="0021428A"/>
    <w:rsid w:val="00224E6B"/>
    <w:rsid w:val="002436DF"/>
    <w:rsid w:val="00247D14"/>
    <w:rsid w:val="00287580"/>
    <w:rsid w:val="00291FE8"/>
    <w:rsid w:val="00293998"/>
    <w:rsid w:val="002A55F6"/>
    <w:rsid w:val="002A7665"/>
    <w:rsid w:val="002C64BB"/>
    <w:rsid w:val="002D34D7"/>
    <w:rsid w:val="0032286D"/>
    <w:rsid w:val="003320BB"/>
    <w:rsid w:val="003405C4"/>
    <w:rsid w:val="003628AD"/>
    <w:rsid w:val="003832D4"/>
    <w:rsid w:val="00390254"/>
    <w:rsid w:val="003B1954"/>
    <w:rsid w:val="00414E55"/>
    <w:rsid w:val="00416045"/>
    <w:rsid w:val="00425A0D"/>
    <w:rsid w:val="0043619E"/>
    <w:rsid w:val="00455AAD"/>
    <w:rsid w:val="004914FE"/>
    <w:rsid w:val="004B6C04"/>
    <w:rsid w:val="004E292F"/>
    <w:rsid w:val="004E57BE"/>
    <w:rsid w:val="00511DC5"/>
    <w:rsid w:val="00516BAD"/>
    <w:rsid w:val="005509FD"/>
    <w:rsid w:val="0055100B"/>
    <w:rsid w:val="00572C3F"/>
    <w:rsid w:val="00573147"/>
    <w:rsid w:val="005A24A3"/>
    <w:rsid w:val="005B209F"/>
    <w:rsid w:val="005B2714"/>
    <w:rsid w:val="005C2EA0"/>
    <w:rsid w:val="005E1793"/>
    <w:rsid w:val="006230BA"/>
    <w:rsid w:val="0064728A"/>
    <w:rsid w:val="006542D1"/>
    <w:rsid w:val="00655DA9"/>
    <w:rsid w:val="006843CD"/>
    <w:rsid w:val="006910C4"/>
    <w:rsid w:val="00696A8E"/>
    <w:rsid w:val="006C37F0"/>
    <w:rsid w:val="006E1653"/>
    <w:rsid w:val="006E4739"/>
    <w:rsid w:val="006F7C81"/>
    <w:rsid w:val="0070746A"/>
    <w:rsid w:val="007142AD"/>
    <w:rsid w:val="00720958"/>
    <w:rsid w:val="0072660C"/>
    <w:rsid w:val="00747F1E"/>
    <w:rsid w:val="00753DA0"/>
    <w:rsid w:val="007767A2"/>
    <w:rsid w:val="007866C1"/>
    <w:rsid w:val="00790A75"/>
    <w:rsid w:val="007A1EC7"/>
    <w:rsid w:val="007B6E39"/>
    <w:rsid w:val="007E3E6D"/>
    <w:rsid w:val="007F3DBC"/>
    <w:rsid w:val="008156C9"/>
    <w:rsid w:val="0081667F"/>
    <w:rsid w:val="00821DF2"/>
    <w:rsid w:val="008312FD"/>
    <w:rsid w:val="00832A99"/>
    <w:rsid w:val="00870988"/>
    <w:rsid w:val="00880447"/>
    <w:rsid w:val="008859BB"/>
    <w:rsid w:val="00890D30"/>
    <w:rsid w:val="00892374"/>
    <w:rsid w:val="008A3760"/>
    <w:rsid w:val="008B5E47"/>
    <w:rsid w:val="008C1CBE"/>
    <w:rsid w:val="008C7E24"/>
    <w:rsid w:val="008D0AB1"/>
    <w:rsid w:val="008E6737"/>
    <w:rsid w:val="008F5BCA"/>
    <w:rsid w:val="00907357"/>
    <w:rsid w:val="009137CF"/>
    <w:rsid w:val="0094310D"/>
    <w:rsid w:val="0094593C"/>
    <w:rsid w:val="00955B1C"/>
    <w:rsid w:val="0097006F"/>
    <w:rsid w:val="0097399F"/>
    <w:rsid w:val="00983957"/>
    <w:rsid w:val="009A026C"/>
    <w:rsid w:val="009B01DB"/>
    <w:rsid w:val="009B5C8A"/>
    <w:rsid w:val="009C4216"/>
    <w:rsid w:val="009D07B3"/>
    <w:rsid w:val="009E1E99"/>
    <w:rsid w:val="009F0EB1"/>
    <w:rsid w:val="009F19F8"/>
    <w:rsid w:val="00A00E9A"/>
    <w:rsid w:val="00A15FBF"/>
    <w:rsid w:val="00A34249"/>
    <w:rsid w:val="00A36475"/>
    <w:rsid w:val="00A51BDF"/>
    <w:rsid w:val="00A51DBE"/>
    <w:rsid w:val="00A54D8A"/>
    <w:rsid w:val="00A74A76"/>
    <w:rsid w:val="00AB3851"/>
    <w:rsid w:val="00AB411A"/>
    <w:rsid w:val="00AD0CF5"/>
    <w:rsid w:val="00B00456"/>
    <w:rsid w:val="00B03FFE"/>
    <w:rsid w:val="00B25687"/>
    <w:rsid w:val="00B33506"/>
    <w:rsid w:val="00B566EA"/>
    <w:rsid w:val="00B57AEA"/>
    <w:rsid w:val="00B80355"/>
    <w:rsid w:val="00B8303C"/>
    <w:rsid w:val="00B97919"/>
    <w:rsid w:val="00BA3917"/>
    <w:rsid w:val="00BB06AD"/>
    <w:rsid w:val="00BC0319"/>
    <w:rsid w:val="00BC2215"/>
    <w:rsid w:val="00BC631A"/>
    <w:rsid w:val="00BD74E5"/>
    <w:rsid w:val="00C12BA4"/>
    <w:rsid w:val="00C1368B"/>
    <w:rsid w:val="00C21735"/>
    <w:rsid w:val="00C33D2C"/>
    <w:rsid w:val="00C35FC5"/>
    <w:rsid w:val="00C364F0"/>
    <w:rsid w:val="00C45CE2"/>
    <w:rsid w:val="00C52E50"/>
    <w:rsid w:val="00C66BDB"/>
    <w:rsid w:val="00C71472"/>
    <w:rsid w:val="00C943DF"/>
    <w:rsid w:val="00C94EA2"/>
    <w:rsid w:val="00CA7AE0"/>
    <w:rsid w:val="00CB26EB"/>
    <w:rsid w:val="00CC0A96"/>
    <w:rsid w:val="00CC1B72"/>
    <w:rsid w:val="00CC22F9"/>
    <w:rsid w:val="00CE2A53"/>
    <w:rsid w:val="00D11E8D"/>
    <w:rsid w:val="00D1645C"/>
    <w:rsid w:val="00D2516B"/>
    <w:rsid w:val="00D27799"/>
    <w:rsid w:val="00D36AB5"/>
    <w:rsid w:val="00D74FB6"/>
    <w:rsid w:val="00D75F73"/>
    <w:rsid w:val="00D946BB"/>
    <w:rsid w:val="00DA23F4"/>
    <w:rsid w:val="00DB099B"/>
    <w:rsid w:val="00DC5A8A"/>
    <w:rsid w:val="00DD439B"/>
    <w:rsid w:val="00DE5FF7"/>
    <w:rsid w:val="00E11E18"/>
    <w:rsid w:val="00E241BD"/>
    <w:rsid w:val="00E318C2"/>
    <w:rsid w:val="00E43F84"/>
    <w:rsid w:val="00E5602D"/>
    <w:rsid w:val="00E57785"/>
    <w:rsid w:val="00E6165F"/>
    <w:rsid w:val="00E63445"/>
    <w:rsid w:val="00E64401"/>
    <w:rsid w:val="00E65FC2"/>
    <w:rsid w:val="00E83519"/>
    <w:rsid w:val="00E90C77"/>
    <w:rsid w:val="00ED5BC6"/>
    <w:rsid w:val="00EF07A5"/>
    <w:rsid w:val="00EF76F9"/>
    <w:rsid w:val="00F051B8"/>
    <w:rsid w:val="00F06EA6"/>
    <w:rsid w:val="00F121FB"/>
    <w:rsid w:val="00F45E31"/>
    <w:rsid w:val="00F50EEB"/>
    <w:rsid w:val="00F6144A"/>
    <w:rsid w:val="00F93492"/>
    <w:rsid w:val="00FA52E2"/>
    <w:rsid w:val="00FD4C0F"/>
    <w:rsid w:val="00FE426D"/>
    <w:rsid w:val="00FE467B"/>
    <w:rsid w:val="00FF0DC7"/>
    <w:rsid w:val="00FF3883"/>
    <w:rsid w:val="00FF77AE"/>
    <w:rsid w:val="05E83341"/>
    <w:rsid w:val="06C56FF1"/>
    <w:rsid w:val="0A0334A7"/>
    <w:rsid w:val="0B0523A4"/>
    <w:rsid w:val="0B5843AD"/>
    <w:rsid w:val="0BBF17D2"/>
    <w:rsid w:val="0D7A532C"/>
    <w:rsid w:val="0E1D2BD5"/>
    <w:rsid w:val="10EF6D26"/>
    <w:rsid w:val="114E5C71"/>
    <w:rsid w:val="14545F69"/>
    <w:rsid w:val="173211D3"/>
    <w:rsid w:val="19924EC5"/>
    <w:rsid w:val="1CAE0692"/>
    <w:rsid w:val="1DD4487C"/>
    <w:rsid w:val="1FA90F7F"/>
    <w:rsid w:val="20005D4C"/>
    <w:rsid w:val="20B15F2E"/>
    <w:rsid w:val="250C32D4"/>
    <w:rsid w:val="251B397C"/>
    <w:rsid w:val="29C00C14"/>
    <w:rsid w:val="2B0521C7"/>
    <w:rsid w:val="2BFB1CB9"/>
    <w:rsid w:val="2D2D19F6"/>
    <w:rsid w:val="31CA6EAF"/>
    <w:rsid w:val="32FE6C1A"/>
    <w:rsid w:val="337B0E24"/>
    <w:rsid w:val="33CA102F"/>
    <w:rsid w:val="357F4E34"/>
    <w:rsid w:val="36CB6EF8"/>
    <w:rsid w:val="37801E7C"/>
    <w:rsid w:val="39147073"/>
    <w:rsid w:val="3CC92A94"/>
    <w:rsid w:val="3D7665F2"/>
    <w:rsid w:val="43342EDA"/>
    <w:rsid w:val="43B93FA8"/>
    <w:rsid w:val="443261F1"/>
    <w:rsid w:val="446957F2"/>
    <w:rsid w:val="45C35682"/>
    <w:rsid w:val="47B03BA9"/>
    <w:rsid w:val="481F54E2"/>
    <w:rsid w:val="48F1583A"/>
    <w:rsid w:val="49932E45"/>
    <w:rsid w:val="4BE149AB"/>
    <w:rsid w:val="4DBB5413"/>
    <w:rsid w:val="4E3D7F6A"/>
    <w:rsid w:val="50CD0E65"/>
    <w:rsid w:val="513574A1"/>
    <w:rsid w:val="527C3CA5"/>
    <w:rsid w:val="54905E35"/>
    <w:rsid w:val="55723134"/>
    <w:rsid w:val="5B685476"/>
    <w:rsid w:val="61BB6436"/>
    <w:rsid w:val="61E664C3"/>
    <w:rsid w:val="63AE7C61"/>
    <w:rsid w:val="64A92F98"/>
    <w:rsid w:val="6579460B"/>
    <w:rsid w:val="67064E50"/>
    <w:rsid w:val="6F674856"/>
    <w:rsid w:val="70AF25EE"/>
    <w:rsid w:val="716F1030"/>
    <w:rsid w:val="721E7F79"/>
    <w:rsid w:val="73F60542"/>
    <w:rsid w:val="743762DF"/>
    <w:rsid w:val="749F5A92"/>
    <w:rsid w:val="78822D93"/>
    <w:rsid w:val="7A7725D1"/>
    <w:rsid w:val="7ABA09CB"/>
    <w:rsid w:val="7AFB1646"/>
    <w:rsid w:val="7E936BB7"/>
    <w:rsid w:val="7ECE0CB1"/>
    <w:rsid w:val="7F4B6365"/>
    <w:rsid w:val="7FD308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qFormat="1" w:unhideWhenUsed="0"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0"/>
      <w:szCs w:val="20"/>
      <w:lang w:val="de-DE" w:eastAsia="de-DE" w:bidi="ar-SA"/>
    </w:rPr>
  </w:style>
  <w:style w:type="paragraph" w:styleId="2">
    <w:name w:val="heading 1"/>
    <w:basedOn w:val="1"/>
    <w:next w:val="1"/>
    <w:link w:val="27"/>
    <w:qFormat/>
    <w:uiPriority w:val="99"/>
    <w:pPr>
      <w:spacing w:before="100" w:beforeAutospacing="1" w:after="100" w:afterAutospacing="1"/>
      <w:outlineLvl w:val="0"/>
    </w:pPr>
    <w:rPr>
      <w:b/>
      <w:bCs/>
      <w:kern w:val="36"/>
      <w:sz w:val="48"/>
      <w:szCs w:val="48"/>
      <w:lang w:val="sl-SI"/>
    </w:rPr>
  </w:style>
  <w:style w:type="paragraph" w:styleId="3">
    <w:name w:val="heading 2"/>
    <w:basedOn w:val="1"/>
    <w:link w:val="28"/>
    <w:qFormat/>
    <w:uiPriority w:val="99"/>
    <w:pPr>
      <w:keepNext/>
      <w:keepLines/>
      <w:spacing w:before="200"/>
      <w:outlineLvl w:val="1"/>
    </w:pPr>
    <w:rPr>
      <w:rFonts w:ascii="Cambria" w:hAnsi="Cambria" w:eastAsia="MS Gothic" w:cs="Cambria"/>
      <w:b/>
      <w:bCs/>
      <w:color w:val="4F81BD"/>
      <w:sz w:val="26"/>
      <w:szCs w:val="26"/>
    </w:rPr>
  </w:style>
  <w:style w:type="paragraph" w:styleId="4">
    <w:name w:val="heading 3"/>
    <w:basedOn w:val="1"/>
    <w:next w:val="1"/>
    <w:link w:val="29"/>
    <w:qFormat/>
    <w:uiPriority w:val="99"/>
    <w:pPr>
      <w:spacing w:before="100" w:beforeAutospacing="1" w:after="100" w:afterAutospacing="1"/>
      <w:outlineLvl w:val="2"/>
    </w:pPr>
    <w:rPr>
      <w:b/>
      <w:bCs/>
      <w:sz w:val="27"/>
      <w:szCs w:val="27"/>
      <w:lang w:val="sl-SI" w:eastAsia="sl-SI"/>
    </w:rPr>
  </w:style>
  <w:style w:type="character" w:default="1" w:styleId="5">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6"/>
    <w:semiHidden/>
    <w:qFormat/>
    <w:uiPriority w:val="99"/>
    <w:rPr>
      <w:rFonts w:ascii="Tahoma" w:hAnsi="Tahoma" w:cs="Tahoma"/>
      <w:sz w:val="16"/>
      <w:szCs w:val="16"/>
    </w:rPr>
  </w:style>
  <w:style w:type="character" w:styleId="8">
    <w:name w:val="annotation reference"/>
    <w:basedOn w:val="5"/>
    <w:semiHidden/>
    <w:qFormat/>
    <w:uiPriority w:val="99"/>
    <w:rPr>
      <w:rFonts w:ascii="Times New Roman" w:hAnsi="Times New Roman" w:cs="Times New Roman"/>
      <w:sz w:val="16"/>
      <w:szCs w:val="16"/>
    </w:rPr>
  </w:style>
  <w:style w:type="paragraph" w:styleId="9">
    <w:name w:val="annotation text"/>
    <w:basedOn w:val="1"/>
    <w:link w:val="31"/>
    <w:semiHidden/>
    <w:qFormat/>
    <w:uiPriority w:val="99"/>
  </w:style>
  <w:style w:type="paragraph" w:styleId="10">
    <w:name w:val="annotation subject"/>
    <w:basedOn w:val="9"/>
    <w:next w:val="9"/>
    <w:link w:val="35"/>
    <w:semiHidden/>
    <w:qFormat/>
    <w:uiPriority w:val="99"/>
    <w:rPr>
      <w:b/>
      <w:bCs/>
    </w:rPr>
  </w:style>
  <w:style w:type="character" w:styleId="11">
    <w:name w:val="Emphasis"/>
    <w:basedOn w:val="5"/>
    <w:qFormat/>
    <w:uiPriority w:val="99"/>
    <w:rPr>
      <w:rFonts w:ascii="Times New Roman" w:hAnsi="Times New Roman" w:cs="Times New Roman"/>
      <w:i/>
      <w:iCs/>
    </w:rPr>
  </w:style>
  <w:style w:type="paragraph" w:styleId="12">
    <w:name w:val="endnote text"/>
    <w:basedOn w:val="1"/>
    <w:link w:val="34"/>
    <w:semiHidden/>
    <w:qFormat/>
    <w:uiPriority w:val="99"/>
    <w:rPr>
      <w:lang w:val="ru-RU" w:eastAsia="zh-CN"/>
    </w:rPr>
  </w:style>
  <w:style w:type="character" w:styleId="13">
    <w:name w:val="FollowedHyperlink"/>
    <w:basedOn w:val="5"/>
    <w:semiHidden/>
    <w:qFormat/>
    <w:uiPriority w:val="99"/>
    <w:rPr>
      <w:rFonts w:cs="Times New Roman"/>
      <w:color w:val="800080"/>
      <w:u w:val="single"/>
    </w:rPr>
  </w:style>
  <w:style w:type="paragraph" w:styleId="14">
    <w:name w:val="footer"/>
    <w:basedOn w:val="1"/>
    <w:link w:val="33"/>
    <w:semiHidden/>
    <w:qFormat/>
    <w:uiPriority w:val="99"/>
    <w:pPr>
      <w:tabs>
        <w:tab w:val="center" w:pos="4536"/>
        <w:tab w:val="right" w:pos="9072"/>
      </w:tabs>
    </w:pPr>
  </w:style>
  <w:style w:type="character" w:styleId="15">
    <w:name w:val="footnote reference"/>
    <w:basedOn w:val="5"/>
    <w:semiHidden/>
    <w:qFormat/>
    <w:uiPriority w:val="99"/>
    <w:rPr>
      <w:rFonts w:cs="Times New Roman"/>
      <w:vertAlign w:val="superscript"/>
    </w:rPr>
  </w:style>
  <w:style w:type="paragraph" w:styleId="16">
    <w:name w:val="footnote text"/>
    <w:basedOn w:val="1"/>
    <w:link w:val="30"/>
    <w:semiHidden/>
    <w:qFormat/>
    <w:uiPriority w:val="99"/>
  </w:style>
  <w:style w:type="paragraph" w:styleId="17">
    <w:name w:val="header"/>
    <w:basedOn w:val="1"/>
    <w:link w:val="32"/>
    <w:semiHidden/>
    <w:qFormat/>
    <w:uiPriority w:val="99"/>
    <w:pPr>
      <w:tabs>
        <w:tab w:val="center" w:pos="4536"/>
        <w:tab w:val="right" w:pos="9072"/>
      </w:tabs>
    </w:pPr>
  </w:style>
  <w:style w:type="character" w:styleId="18">
    <w:name w:val="Hyperlink"/>
    <w:basedOn w:val="5"/>
    <w:semiHidden/>
    <w:qFormat/>
    <w:uiPriority w:val="99"/>
    <w:rPr>
      <w:rFonts w:ascii="Times New Roman" w:hAnsi="Times New Roman" w:cs="Times New Roman"/>
      <w:color w:val="0000FF"/>
      <w:u w:val="single"/>
    </w:rPr>
  </w:style>
  <w:style w:type="character" w:styleId="19">
    <w:name w:val="line number"/>
    <w:basedOn w:val="5"/>
    <w:semiHidden/>
    <w:qFormat/>
    <w:uiPriority w:val="99"/>
    <w:rPr>
      <w:rFonts w:cs="Times New Roman"/>
    </w:rPr>
  </w:style>
  <w:style w:type="paragraph" w:styleId="20">
    <w:name w:val="Normal (Web)"/>
    <w:basedOn w:val="1"/>
    <w:semiHidden/>
    <w:qFormat/>
    <w:uiPriority w:val="99"/>
    <w:pPr>
      <w:spacing w:before="100" w:beforeAutospacing="1" w:after="100" w:afterAutospacing="1"/>
    </w:pPr>
    <w:rPr>
      <w:sz w:val="24"/>
      <w:szCs w:val="24"/>
      <w:lang w:val="sl-SI" w:eastAsia="sl-SI"/>
    </w:rPr>
  </w:style>
  <w:style w:type="paragraph" w:styleId="21">
    <w:name w:val="Plain Text"/>
    <w:basedOn w:val="1"/>
    <w:link w:val="51"/>
    <w:semiHidden/>
    <w:qFormat/>
    <w:uiPriority w:val="99"/>
    <w:rPr>
      <w:rFonts w:ascii="Courier New" w:hAnsi="Courier New" w:cs="Courier New"/>
    </w:rPr>
  </w:style>
  <w:style w:type="character" w:styleId="22">
    <w:name w:val="Strong"/>
    <w:basedOn w:val="5"/>
    <w:qFormat/>
    <w:uiPriority w:val="99"/>
    <w:rPr>
      <w:rFonts w:ascii="Times New Roman" w:hAnsi="Times New Roman" w:cs="Times New Roman"/>
      <w:b/>
      <w:bCs/>
    </w:rPr>
  </w:style>
  <w:style w:type="table" w:styleId="23">
    <w:name w:val="Table Grid"/>
    <w:basedOn w:val="6"/>
    <w:qFormat/>
    <w:uiPriority w:val="99"/>
    <w:rPr>
      <w:rFonts w:cs="Calibri"/>
      <w:sz w:val="20"/>
      <w:szCs w:val="20"/>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toc 1"/>
    <w:basedOn w:val="1"/>
    <w:next w:val="1"/>
    <w:locked/>
    <w:uiPriority w:val="0"/>
  </w:style>
  <w:style w:type="paragraph" w:styleId="25">
    <w:name w:val="toc 2"/>
    <w:basedOn w:val="1"/>
    <w:next w:val="1"/>
    <w:locked/>
    <w:uiPriority w:val="0"/>
    <w:pPr>
      <w:ind w:left="420" w:leftChars="200"/>
    </w:pPr>
  </w:style>
  <w:style w:type="paragraph" w:styleId="26">
    <w:name w:val="toc 3"/>
    <w:basedOn w:val="1"/>
    <w:next w:val="1"/>
    <w:locked/>
    <w:uiPriority w:val="0"/>
    <w:pPr>
      <w:ind w:left="840" w:leftChars="400"/>
    </w:pPr>
  </w:style>
  <w:style w:type="character" w:customStyle="1" w:styleId="27">
    <w:name w:val="Heading 1 Char"/>
    <w:basedOn w:val="5"/>
    <w:link w:val="2"/>
    <w:locked/>
    <w:uiPriority w:val="99"/>
    <w:rPr>
      <w:rFonts w:ascii="Times New Roman" w:hAnsi="Times New Roman" w:cs="Times New Roman"/>
      <w:b/>
      <w:bCs/>
      <w:kern w:val="36"/>
      <w:sz w:val="48"/>
      <w:szCs w:val="48"/>
      <w:lang w:val="sl-SI" w:eastAsia="de-DE"/>
    </w:rPr>
  </w:style>
  <w:style w:type="character" w:customStyle="1" w:styleId="28">
    <w:name w:val="Heading 2 Char"/>
    <w:basedOn w:val="5"/>
    <w:link w:val="3"/>
    <w:semiHidden/>
    <w:qFormat/>
    <w:locked/>
    <w:uiPriority w:val="99"/>
    <w:rPr>
      <w:rFonts w:ascii="Cambria" w:hAnsi="Cambria" w:eastAsia="MS Gothic" w:cs="Cambria"/>
      <w:b/>
      <w:bCs/>
      <w:color w:val="4F81BD"/>
      <w:sz w:val="26"/>
      <w:szCs w:val="26"/>
      <w:lang w:val="de-DE" w:eastAsia="de-DE"/>
    </w:rPr>
  </w:style>
  <w:style w:type="character" w:customStyle="1" w:styleId="29">
    <w:name w:val="Heading 3 Char"/>
    <w:basedOn w:val="5"/>
    <w:link w:val="4"/>
    <w:semiHidden/>
    <w:qFormat/>
    <w:locked/>
    <w:uiPriority w:val="99"/>
    <w:rPr>
      <w:rFonts w:ascii="Times New Roman" w:hAnsi="Times New Roman" w:cs="Times New Roman"/>
      <w:b/>
      <w:bCs/>
      <w:sz w:val="27"/>
      <w:szCs w:val="27"/>
      <w:lang w:val="sl-SI" w:eastAsia="sl-SI"/>
    </w:rPr>
  </w:style>
  <w:style w:type="character" w:customStyle="1" w:styleId="30">
    <w:name w:val="Footnote Text Char"/>
    <w:basedOn w:val="5"/>
    <w:link w:val="16"/>
    <w:semiHidden/>
    <w:qFormat/>
    <w:locked/>
    <w:uiPriority w:val="99"/>
    <w:rPr>
      <w:rFonts w:ascii="Times New Roman" w:hAnsi="Times New Roman" w:cs="Times New Roman"/>
      <w:sz w:val="20"/>
      <w:szCs w:val="20"/>
      <w:lang w:val="de-DE" w:eastAsia="de-DE"/>
    </w:rPr>
  </w:style>
  <w:style w:type="character" w:customStyle="1" w:styleId="31">
    <w:name w:val="Comment Text Char"/>
    <w:basedOn w:val="5"/>
    <w:link w:val="9"/>
    <w:semiHidden/>
    <w:qFormat/>
    <w:locked/>
    <w:uiPriority w:val="99"/>
    <w:rPr>
      <w:rFonts w:ascii="Times New Roman" w:hAnsi="Times New Roman" w:cs="Times New Roman"/>
      <w:sz w:val="20"/>
      <w:szCs w:val="20"/>
      <w:lang w:val="de-DE" w:eastAsia="de-DE"/>
    </w:rPr>
  </w:style>
  <w:style w:type="character" w:customStyle="1" w:styleId="32">
    <w:name w:val="Header Char"/>
    <w:basedOn w:val="5"/>
    <w:link w:val="17"/>
    <w:semiHidden/>
    <w:qFormat/>
    <w:locked/>
    <w:uiPriority w:val="99"/>
    <w:rPr>
      <w:rFonts w:ascii="Times New Roman" w:hAnsi="Times New Roman" w:cs="Times New Roman"/>
      <w:sz w:val="20"/>
      <w:szCs w:val="20"/>
      <w:lang w:val="de-DE" w:eastAsia="de-DE"/>
    </w:rPr>
  </w:style>
  <w:style w:type="character" w:customStyle="1" w:styleId="33">
    <w:name w:val="Footer Char"/>
    <w:basedOn w:val="5"/>
    <w:link w:val="14"/>
    <w:semiHidden/>
    <w:qFormat/>
    <w:locked/>
    <w:uiPriority w:val="99"/>
    <w:rPr>
      <w:rFonts w:ascii="Times New Roman" w:hAnsi="Times New Roman" w:cs="Times New Roman"/>
      <w:sz w:val="20"/>
      <w:szCs w:val="20"/>
      <w:lang w:val="de-DE" w:eastAsia="de-DE"/>
    </w:rPr>
  </w:style>
  <w:style w:type="character" w:customStyle="1" w:styleId="34">
    <w:name w:val="Endnote Text Char"/>
    <w:basedOn w:val="5"/>
    <w:link w:val="12"/>
    <w:semiHidden/>
    <w:qFormat/>
    <w:locked/>
    <w:uiPriority w:val="99"/>
    <w:rPr>
      <w:rFonts w:ascii="Times New Roman" w:hAnsi="Times New Roman" w:cs="Times New Roman"/>
      <w:sz w:val="20"/>
      <w:szCs w:val="20"/>
      <w:lang w:val="ru-RU" w:eastAsia="zh-CN"/>
    </w:rPr>
  </w:style>
  <w:style w:type="character" w:customStyle="1" w:styleId="35">
    <w:name w:val="Comment Subject Char"/>
    <w:basedOn w:val="31"/>
    <w:link w:val="10"/>
    <w:semiHidden/>
    <w:qFormat/>
    <w:locked/>
    <w:uiPriority w:val="99"/>
    <w:rPr>
      <w:b/>
      <w:bCs/>
    </w:rPr>
  </w:style>
  <w:style w:type="character" w:customStyle="1" w:styleId="36">
    <w:name w:val="Balloon Text Char"/>
    <w:basedOn w:val="5"/>
    <w:link w:val="7"/>
    <w:semiHidden/>
    <w:qFormat/>
    <w:locked/>
    <w:uiPriority w:val="99"/>
    <w:rPr>
      <w:rFonts w:ascii="Tahoma" w:hAnsi="Tahoma" w:cs="Tahoma"/>
      <w:sz w:val="16"/>
      <w:szCs w:val="16"/>
      <w:lang w:val="de-DE" w:eastAsia="de-DE"/>
    </w:rPr>
  </w:style>
  <w:style w:type="paragraph" w:customStyle="1" w:styleId="37">
    <w:name w:val="Revision"/>
    <w:semiHidden/>
    <w:qFormat/>
    <w:uiPriority w:val="99"/>
    <w:rPr>
      <w:rFonts w:ascii="Times New Roman" w:hAnsi="Times New Roman" w:eastAsia="Times New Roman" w:cs="Times New Roman"/>
      <w:sz w:val="20"/>
      <w:szCs w:val="20"/>
      <w:lang w:val="de-DE" w:eastAsia="de-DE" w:bidi="ar-SA"/>
    </w:rPr>
  </w:style>
  <w:style w:type="character" w:customStyle="1" w:styleId="38">
    <w:name w:val="List Paragraph Char"/>
    <w:basedOn w:val="5"/>
    <w:link w:val="39"/>
    <w:qFormat/>
    <w:locked/>
    <w:uiPriority w:val="99"/>
    <w:rPr>
      <w:rFonts w:ascii="Cambria" w:hAnsi="Cambria" w:cs="Cambria"/>
      <w:lang w:val="en-US"/>
    </w:rPr>
  </w:style>
  <w:style w:type="paragraph" w:styleId="39">
    <w:name w:val="List Paragraph"/>
    <w:basedOn w:val="1"/>
    <w:link w:val="38"/>
    <w:qFormat/>
    <w:uiPriority w:val="99"/>
    <w:pPr>
      <w:spacing w:after="200" w:line="276" w:lineRule="auto"/>
      <w:ind w:left="720"/>
    </w:pPr>
    <w:rPr>
      <w:rFonts w:ascii="Cambria" w:hAnsi="Cambria" w:cs="Cambria"/>
      <w:sz w:val="22"/>
      <w:szCs w:val="22"/>
      <w:lang w:val="en-US" w:eastAsia="en-US"/>
    </w:rPr>
  </w:style>
  <w:style w:type="paragraph" w:customStyle="1" w:styleId="40">
    <w:name w:val="copyright"/>
    <w:basedOn w:val="1"/>
    <w:qFormat/>
    <w:uiPriority w:val="99"/>
    <w:pPr>
      <w:spacing w:before="100" w:beforeAutospacing="1" w:after="100" w:afterAutospacing="1"/>
    </w:pPr>
    <w:rPr>
      <w:sz w:val="24"/>
      <w:szCs w:val="24"/>
      <w:lang w:val="sl-SI" w:eastAsia="sl-SI"/>
    </w:rPr>
  </w:style>
  <w:style w:type="paragraph" w:customStyle="1" w:styleId="41">
    <w:name w:val="articlecategory"/>
    <w:basedOn w:val="1"/>
    <w:qFormat/>
    <w:uiPriority w:val="99"/>
    <w:pPr>
      <w:spacing w:before="100" w:beforeAutospacing="1" w:after="100" w:afterAutospacing="1"/>
    </w:pPr>
    <w:rPr>
      <w:sz w:val="24"/>
      <w:szCs w:val="24"/>
      <w:lang w:val="sl-SI" w:eastAsia="sl-SI"/>
    </w:rPr>
  </w:style>
  <w:style w:type="paragraph" w:customStyle="1" w:styleId="42">
    <w:name w:val="articledetails"/>
    <w:basedOn w:val="1"/>
    <w:qFormat/>
    <w:uiPriority w:val="99"/>
    <w:pPr>
      <w:spacing w:before="100" w:beforeAutospacing="1" w:after="100" w:afterAutospacing="1"/>
    </w:pPr>
    <w:rPr>
      <w:sz w:val="24"/>
      <w:szCs w:val="24"/>
      <w:lang w:val="sl-SI" w:eastAsia="sl-SI"/>
    </w:rPr>
  </w:style>
  <w:style w:type="paragraph" w:customStyle="1" w:styleId="43">
    <w:name w:val="DC text"/>
    <w:basedOn w:val="1"/>
    <w:qFormat/>
    <w:uiPriority w:val="99"/>
    <w:pPr>
      <w:autoSpaceDE w:val="0"/>
      <w:autoSpaceDN w:val="0"/>
      <w:adjustRightInd w:val="0"/>
      <w:spacing w:after="100" w:line="280" w:lineRule="auto"/>
      <w:jc w:val="both"/>
    </w:pPr>
    <w:rPr>
      <w:rFonts w:ascii="Arial" w:hAnsi="Arial" w:eastAsia="Calibri" w:cs="Arial"/>
      <w:color w:val="000000"/>
      <w:sz w:val="18"/>
      <w:szCs w:val="18"/>
    </w:rPr>
  </w:style>
  <w:style w:type="character" w:customStyle="1" w:styleId="44">
    <w:name w:val="maintitle"/>
    <w:basedOn w:val="5"/>
    <w:qFormat/>
    <w:uiPriority w:val="99"/>
    <w:rPr>
      <w:rFonts w:ascii="Times New Roman" w:hAnsi="Times New Roman" w:cs="Times New Roman"/>
    </w:rPr>
  </w:style>
  <w:style w:type="character" w:customStyle="1" w:styleId="45">
    <w:name w:val="st1"/>
    <w:basedOn w:val="5"/>
    <w:qFormat/>
    <w:uiPriority w:val="99"/>
    <w:rPr>
      <w:rFonts w:ascii="Times New Roman" w:hAnsi="Times New Roman" w:cs="Times New Roman"/>
    </w:rPr>
  </w:style>
  <w:style w:type="character" w:customStyle="1" w:styleId="46">
    <w:name w:val="ft"/>
    <w:basedOn w:val="5"/>
    <w:qFormat/>
    <w:uiPriority w:val="99"/>
    <w:rPr>
      <w:rFonts w:ascii="Times New Roman" w:hAnsi="Times New Roman" w:cs="Times New Roman"/>
    </w:rPr>
  </w:style>
  <w:style w:type="character" w:customStyle="1" w:styleId="47">
    <w:name w:val="st"/>
    <w:basedOn w:val="5"/>
    <w:qFormat/>
    <w:uiPriority w:val="99"/>
    <w:rPr>
      <w:rFonts w:cs="Times New Roman"/>
    </w:rPr>
  </w:style>
  <w:style w:type="character" w:customStyle="1" w:styleId="48">
    <w:name w:val="apple-converted-space"/>
    <w:basedOn w:val="5"/>
    <w:qFormat/>
    <w:uiPriority w:val="99"/>
    <w:rPr>
      <w:rFonts w:cs="Times New Roman"/>
    </w:rPr>
  </w:style>
  <w:style w:type="character" w:customStyle="1" w:styleId="49">
    <w:name w:val="slug-doi"/>
    <w:basedOn w:val="5"/>
    <w:qFormat/>
    <w:uiPriority w:val="99"/>
    <w:rPr>
      <w:rFonts w:cs="Times New Roman"/>
    </w:rPr>
  </w:style>
  <w:style w:type="character" w:customStyle="1" w:styleId="50">
    <w:name w:val="slug-doi-wrapper"/>
    <w:basedOn w:val="5"/>
    <w:qFormat/>
    <w:uiPriority w:val="99"/>
    <w:rPr>
      <w:rFonts w:cs="Times New Roman"/>
    </w:rPr>
  </w:style>
  <w:style w:type="character" w:customStyle="1" w:styleId="51">
    <w:name w:val="Plain Text Char"/>
    <w:basedOn w:val="5"/>
    <w:link w:val="21"/>
    <w:semiHidden/>
    <w:qFormat/>
    <w:locked/>
    <w:uiPriority w:val="99"/>
    <w:rPr>
      <w:rFonts w:ascii="Courier New" w:hAnsi="Courier New" w:cs="Courier New"/>
      <w:sz w:val="20"/>
      <w:szCs w:val="20"/>
      <w:lang w:val="de-DE" w:eastAsia="de-DE"/>
    </w:rPr>
  </w:style>
  <w:style w:type="paragraph" w:customStyle="1" w:styleId="52">
    <w:name w:val="TEXT"/>
    <w:basedOn w:val="1"/>
    <w:qFormat/>
    <w:uiPriority w:val="99"/>
    <w:pPr>
      <w:widowControl w:val="0"/>
      <w:tabs>
        <w:tab w:val="left" w:pos="9498"/>
      </w:tabs>
      <w:spacing w:line="280" w:lineRule="atLeast"/>
      <w:ind w:firstLine="284"/>
      <w:jc w:val="both"/>
    </w:pPr>
    <w:rPr>
      <w:rFonts w:ascii="Times" w:hAnsi="Times"/>
      <w:sz w:val="24"/>
      <w:szCs w:val="24"/>
      <w:lang w:val="it-IT" w:eastAsia="it-IT"/>
    </w:rPr>
  </w:style>
  <w:style w:type="paragraph" w:customStyle="1" w:styleId="53">
    <w:name w:val="REFERENCES"/>
    <w:basedOn w:val="1"/>
    <w:next w:val="52"/>
    <w:qFormat/>
    <w:uiPriority w:val="99"/>
    <w:pPr>
      <w:widowControl w:val="0"/>
      <w:tabs>
        <w:tab w:val="left" w:pos="9498"/>
      </w:tabs>
      <w:spacing w:after="60" w:line="280" w:lineRule="atLeast"/>
      <w:ind w:left="284" w:hanging="284"/>
      <w:jc w:val="both"/>
    </w:pPr>
    <w:rPr>
      <w:rFonts w:ascii="Times" w:hAnsi="Times"/>
      <w:sz w:val="24"/>
      <w:lang w:val="da-DK" w:eastAsia="it-IT"/>
    </w:rPr>
  </w:style>
  <w:style w:type="character" w:customStyle="1" w:styleId="54">
    <w:name w:val="tlid-translation"/>
    <w:basedOn w:val="5"/>
    <w:qFormat/>
    <w:uiPriority w:val="99"/>
    <w:rPr>
      <w:rFonts w:cs="Times New Roman"/>
    </w:rPr>
  </w:style>
  <w:style w:type="character" w:customStyle="1" w:styleId="55">
    <w:name w:val="rynqvb"/>
    <w:qFormat/>
    <w:uiPriority w:val="0"/>
  </w:style>
  <w:style w:type="character" w:customStyle="1" w:styleId="56">
    <w:name w:val="hwtze"/>
    <w:basedOn w:val="5"/>
    <w:qFormat/>
    <w:uiPriority w:val="0"/>
  </w:style>
  <w:style w:type="paragraph" w:customStyle="1" w:styleId="57">
    <w:name w:val="WPSOffice手动目录 1"/>
    <w:qFormat/>
    <w:uiPriority w:val="0"/>
    <w:pPr>
      <w:ind w:leftChars="0"/>
    </w:pPr>
    <w:rPr>
      <w:rFonts w:ascii="Times New Roman" w:hAnsi="Times New Roman" w:eastAsia="SimSun" w:cs="Times New Roman"/>
      <w:sz w:val="20"/>
      <w:szCs w:val="20"/>
    </w:rPr>
  </w:style>
  <w:style w:type="paragraph" w:customStyle="1" w:styleId="58">
    <w:name w:val="WPSOffice手动目录 2"/>
    <w:qFormat/>
    <w:uiPriority w:val="0"/>
    <w:pPr>
      <w:ind w:leftChars="200"/>
    </w:pPr>
    <w:rPr>
      <w:rFonts w:ascii="Times New Roman" w:hAnsi="Times New Roman" w:eastAsia="SimSun" w:cs="Times New Roman"/>
      <w:sz w:val="20"/>
      <w:szCs w:val="20"/>
    </w:rPr>
  </w:style>
  <w:style w:type="paragraph" w:customStyle="1" w:styleId="59">
    <w:name w:val="WPSOffice手动目录 3"/>
    <w:qFormat/>
    <w:uiPriority w:val="0"/>
    <w:pPr>
      <w:ind w:leftChars="4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Bl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Лист31!$A$47</c:f>
              <c:strCache>
                <c:ptCount val="1"/>
                <c:pt idx="0">
                  <c:v>Ig G</c:v>
                </c:pt>
              </c:strCache>
            </c:strRef>
          </c:tx>
          <c:spPr>
            <a:solidFill>
              <a:srgbClr val="5B9BD5"/>
            </a:solidFill>
            <a:ln w="25400">
              <a:noFill/>
            </a:ln>
          </c:spPr>
          <c:invertIfNegative val="0"/>
          <c:dLbls>
            <c:delete val="1"/>
          </c:dLbls>
          <c:errBars>
            <c:errBarType val="both"/>
            <c:errValType val="cust"/>
            <c:noEndCap val="0"/>
            <c:plus>
              <c:numRef>
                <c:f>Лист31!$J$47:$P$47</c:f>
                <c:numCache>
                  <c:formatCode>General</c:formatCode>
                  <c:ptCount val="7"/>
                  <c:pt idx="0">
                    <c:v>0.33</c:v>
                  </c:pt>
                  <c:pt idx="1">
                    <c:v>0.39</c:v>
                  </c:pt>
                  <c:pt idx="2">
                    <c:v>0.34</c:v>
                  </c:pt>
                  <c:pt idx="3">
                    <c:v>0.43</c:v>
                  </c:pt>
                  <c:pt idx="4">
                    <c:v>0.42</c:v>
                  </c:pt>
                  <c:pt idx="5">
                    <c:v>0.45</c:v>
                  </c:pt>
                  <c:pt idx="6">
                    <c:v>0.425</c:v>
                  </c:pt>
                </c:numCache>
              </c:numRef>
            </c:plus>
            <c:minus>
              <c:numRef>
                <c:f>Лист31!$J$47:$P$47</c:f>
                <c:numCache>
                  <c:formatCode>General</c:formatCode>
                  <c:ptCount val="7"/>
                  <c:pt idx="0">
                    <c:v>0.33</c:v>
                  </c:pt>
                  <c:pt idx="1">
                    <c:v>0.39</c:v>
                  </c:pt>
                  <c:pt idx="2">
                    <c:v>0.34</c:v>
                  </c:pt>
                  <c:pt idx="3">
                    <c:v>0.43</c:v>
                  </c:pt>
                  <c:pt idx="4">
                    <c:v>0.42</c:v>
                  </c:pt>
                  <c:pt idx="5">
                    <c:v>0.45</c:v>
                  </c:pt>
                  <c:pt idx="6">
                    <c:v>0.425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Лист31!$B$47:$H$47</c:f>
              <c:numCache>
                <c:formatCode>General</c:formatCode>
                <c:ptCount val="7"/>
                <c:pt idx="0">
                  <c:v>0.64</c:v>
                </c:pt>
                <c:pt idx="1">
                  <c:v>0.47</c:v>
                </c:pt>
                <c:pt idx="2">
                  <c:v>0.09</c:v>
                </c:pt>
                <c:pt idx="3">
                  <c:v>0.36</c:v>
                </c:pt>
                <c:pt idx="4">
                  <c:v>-0.55</c:v>
                </c:pt>
                <c:pt idx="5">
                  <c:v>-0.1</c:v>
                </c:pt>
                <c:pt idx="6">
                  <c:v>0.45</c:v>
                </c:pt>
              </c:numCache>
            </c:numRef>
          </c:val>
        </c:ser>
        <c:ser>
          <c:idx val="1"/>
          <c:order val="1"/>
          <c:tx>
            <c:strRef>
              <c:f>Лист31!$A$48</c:f>
              <c:strCache>
                <c:ptCount val="1"/>
                <c:pt idx="0">
                  <c:v>Neutrophils</c:v>
                </c:pt>
              </c:strCache>
            </c:strRef>
          </c:tx>
          <c:spPr>
            <a:solidFill>
              <a:srgbClr val="ED7D31"/>
            </a:solidFill>
            <a:ln w="25400">
              <a:noFill/>
            </a:ln>
          </c:spPr>
          <c:invertIfNegative val="0"/>
          <c:dLbls>
            <c:delete val="1"/>
          </c:dLbls>
          <c:errBars>
            <c:errBarType val="both"/>
            <c:errValType val="cust"/>
            <c:noEndCap val="0"/>
            <c:plus>
              <c:numRef>
                <c:f>Лист31!$J$48:$P$48</c:f>
                <c:numCache>
                  <c:formatCode>General</c:formatCode>
                  <c:ptCount val="7"/>
                  <c:pt idx="0">
                    <c:v>0.55</c:v>
                  </c:pt>
                  <c:pt idx="1">
                    <c:v>0.51</c:v>
                  </c:pt>
                  <c:pt idx="2">
                    <c:v>0.58</c:v>
                  </c:pt>
                  <c:pt idx="3">
                    <c:v>0.73</c:v>
                  </c:pt>
                  <c:pt idx="4">
                    <c:v>0.52</c:v>
                  </c:pt>
                  <c:pt idx="5">
                    <c:v>0.57</c:v>
                  </c:pt>
                  <c:pt idx="6">
                    <c:v>0.625</c:v>
                  </c:pt>
                </c:numCache>
              </c:numRef>
            </c:plus>
            <c:minus>
              <c:numRef>
                <c:f>Лист31!$J$48:$P$48</c:f>
                <c:numCache>
                  <c:formatCode>General</c:formatCode>
                  <c:ptCount val="7"/>
                  <c:pt idx="0">
                    <c:v>0.55</c:v>
                  </c:pt>
                  <c:pt idx="1">
                    <c:v>0.51</c:v>
                  </c:pt>
                  <c:pt idx="2">
                    <c:v>0.58</c:v>
                  </c:pt>
                  <c:pt idx="3">
                    <c:v>0.73</c:v>
                  </c:pt>
                  <c:pt idx="4">
                    <c:v>0.52</c:v>
                  </c:pt>
                  <c:pt idx="5">
                    <c:v>0.57</c:v>
                  </c:pt>
                  <c:pt idx="6">
                    <c:v>0.625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Лист31!$B$48:$H$48</c:f>
              <c:numCache>
                <c:formatCode>General</c:formatCode>
                <c:ptCount val="7"/>
                <c:pt idx="0">
                  <c:v>0.25</c:v>
                </c:pt>
                <c:pt idx="1">
                  <c:v>-0.5</c:v>
                </c:pt>
                <c:pt idx="2">
                  <c:v>-0.06</c:v>
                </c:pt>
                <c:pt idx="3">
                  <c:v>-0.15</c:v>
                </c:pt>
                <c:pt idx="4">
                  <c:v>-0.31</c:v>
                </c:pt>
                <c:pt idx="5">
                  <c:v>0.35</c:v>
                </c:pt>
                <c:pt idx="6">
                  <c:v>0.66</c:v>
                </c:pt>
              </c:numCache>
            </c:numRef>
          </c:val>
        </c:ser>
        <c:ser>
          <c:idx val="2"/>
          <c:order val="2"/>
          <c:tx>
            <c:strRef>
              <c:f>Лист31!$A$49</c:f>
              <c:strCache>
                <c:ptCount val="1"/>
                <c:pt idx="0">
                  <c:v>CIC </c:v>
                </c:pt>
              </c:strCache>
            </c:strRef>
          </c:tx>
          <c:spPr>
            <a:solidFill>
              <a:srgbClr val="A5A5A5"/>
            </a:solidFill>
            <a:ln w="25400">
              <a:noFill/>
            </a:ln>
          </c:spPr>
          <c:invertIfNegative val="0"/>
          <c:dLbls>
            <c:delete val="1"/>
          </c:dLbls>
          <c:errBars>
            <c:errBarType val="both"/>
            <c:errValType val="cust"/>
            <c:noEndCap val="0"/>
            <c:plus>
              <c:numRef>
                <c:f>Лист31!$J$49:$P$49</c:f>
                <c:numCache>
                  <c:formatCode>General</c:formatCode>
                  <c:ptCount val="7"/>
                  <c:pt idx="0">
                    <c:v>0.33</c:v>
                  </c:pt>
                  <c:pt idx="1">
                    <c:v>0.24</c:v>
                  </c:pt>
                  <c:pt idx="2">
                    <c:v>0.27</c:v>
                  </c:pt>
                  <c:pt idx="3">
                    <c:v>0.28</c:v>
                  </c:pt>
                  <c:pt idx="4">
                    <c:v>0.3</c:v>
                  </c:pt>
                  <c:pt idx="5">
                    <c:v>0.34</c:v>
                  </c:pt>
                  <c:pt idx="6">
                    <c:v>0.29</c:v>
                  </c:pt>
                </c:numCache>
              </c:numRef>
            </c:plus>
            <c:minus>
              <c:numRef>
                <c:f>Лист31!$J$49:$P$49</c:f>
                <c:numCache>
                  <c:formatCode>General</c:formatCode>
                  <c:ptCount val="7"/>
                  <c:pt idx="0">
                    <c:v>0.33</c:v>
                  </c:pt>
                  <c:pt idx="1">
                    <c:v>0.24</c:v>
                  </c:pt>
                  <c:pt idx="2">
                    <c:v>0.27</c:v>
                  </c:pt>
                  <c:pt idx="3">
                    <c:v>0.28</c:v>
                  </c:pt>
                  <c:pt idx="4">
                    <c:v>0.3</c:v>
                  </c:pt>
                  <c:pt idx="5">
                    <c:v>0.34</c:v>
                  </c:pt>
                  <c:pt idx="6">
                    <c:v>0.29</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Лист31!$B$49:$H$49</c:f>
              <c:numCache>
                <c:formatCode>General</c:formatCode>
                <c:ptCount val="7"/>
                <c:pt idx="0">
                  <c:v>-0.23</c:v>
                </c:pt>
                <c:pt idx="1">
                  <c:v>-0.57</c:v>
                </c:pt>
                <c:pt idx="2">
                  <c:v>-0.34</c:v>
                </c:pt>
                <c:pt idx="3">
                  <c:v>0.19</c:v>
                </c:pt>
                <c:pt idx="4">
                  <c:v>-0.12</c:v>
                </c:pt>
                <c:pt idx="5">
                  <c:v>0.77</c:v>
                </c:pt>
                <c:pt idx="6">
                  <c:v>0.89</c:v>
                </c:pt>
              </c:numCache>
            </c:numRef>
          </c:val>
        </c:ser>
        <c:ser>
          <c:idx val="3"/>
          <c:order val="3"/>
          <c:tx>
            <c:strRef>
              <c:f>Лист31!$A$50</c:f>
              <c:strCache>
                <c:ptCount val="1"/>
                <c:pt idx="0">
                  <c:v>CD8 r </c:v>
                </c:pt>
              </c:strCache>
            </c:strRef>
          </c:tx>
          <c:spPr>
            <a:solidFill>
              <a:srgbClr val="FFC000"/>
            </a:solidFill>
            <a:ln w="25400">
              <a:noFill/>
            </a:ln>
          </c:spPr>
          <c:invertIfNegative val="0"/>
          <c:dLbls>
            <c:delete val="1"/>
          </c:dLbls>
          <c:errBars>
            <c:errBarType val="both"/>
            <c:errValType val="cust"/>
            <c:noEndCap val="0"/>
            <c:plus>
              <c:numRef>
                <c:f>Лист31!$J$50:$P$50</c:f>
                <c:numCache>
                  <c:formatCode>General</c:formatCode>
                  <c:ptCount val="7"/>
                  <c:pt idx="0">
                    <c:v>0.49</c:v>
                  </c:pt>
                  <c:pt idx="1">
                    <c:v>0.39</c:v>
                  </c:pt>
                  <c:pt idx="2">
                    <c:v>0.27</c:v>
                  </c:pt>
                  <c:pt idx="3">
                    <c:v>0.44</c:v>
                  </c:pt>
                  <c:pt idx="4">
                    <c:v>0.56</c:v>
                  </c:pt>
                  <c:pt idx="5">
                    <c:v>0.46</c:v>
                  </c:pt>
                  <c:pt idx="6">
                    <c:v>0.5</c:v>
                  </c:pt>
                </c:numCache>
              </c:numRef>
            </c:plus>
            <c:minus>
              <c:numRef>
                <c:f>Лист31!$J$50:$P$50</c:f>
                <c:numCache>
                  <c:formatCode>General</c:formatCode>
                  <c:ptCount val="7"/>
                  <c:pt idx="0">
                    <c:v>0.49</c:v>
                  </c:pt>
                  <c:pt idx="1">
                    <c:v>0.39</c:v>
                  </c:pt>
                  <c:pt idx="2">
                    <c:v>0.27</c:v>
                  </c:pt>
                  <c:pt idx="3">
                    <c:v>0.44</c:v>
                  </c:pt>
                  <c:pt idx="4">
                    <c:v>0.56</c:v>
                  </c:pt>
                  <c:pt idx="5">
                    <c:v>0.46</c:v>
                  </c:pt>
                  <c:pt idx="6">
                    <c:v>0.5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Лист31!$B$50:$H$50</c:f>
              <c:numCache>
                <c:formatCode>General</c:formatCode>
                <c:ptCount val="7"/>
                <c:pt idx="0">
                  <c:v>-1.19</c:v>
                </c:pt>
                <c:pt idx="1">
                  <c:v>-1.66</c:v>
                </c:pt>
                <c:pt idx="2">
                  <c:v>-1.14</c:v>
                </c:pt>
                <c:pt idx="3">
                  <c:v>-0.3</c:v>
                </c:pt>
                <c:pt idx="4">
                  <c:v>0.05</c:v>
                </c:pt>
                <c:pt idx="5">
                  <c:v>1.36</c:v>
                </c:pt>
                <c:pt idx="6">
                  <c:v>1.31</c:v>
                </c:pt>
              </c:numCache>
            </c:numRef>
          </c:val>
        </c:ser>
        <c:ser>
          <c:idx val="4"/>
          <c:order val="4"/>
          <c:tx>
            <c:strRef>
              <c:f>Лист31!$A$51</c:f>
              <c:strCache>
                <c:ptCount val="1"/>
                <c:pt idx="0">
                  <c:v>CD16 r</c:v>
                </c:pt>
              </c:strCache>
            </c:strRef>
          </c:tx>
          <c:spPr>
            <a:solidFill>
              <a:srgbClr val="00B050"/>
            </a:solidFill>
            <a:ln w="25400">
              <a:noFill/>
            </a:ln>
          </c:spPr>
          <c:invertIfNegative val="0"/>
          <c:dLbls>
            <c:delete val="1"/>
          </c:dLbls>
          <c:errBars>
            <c:errBarType val="both"/>
            <c:errValType val="cust"/>
            <c:noEndCap val="0"/>
            <c:plus>
              <c:numRef>
                <c:f>Лист31!$J$51:$P$51</c:f>
                <c:numCache>
                  <c:formatCode>General</c:formatCode>
                  <c:ptCount val="7"/>
                  <c:pt idx="0">
                    <c:v>0.08</c:v>
                  </c:pt>
                  <c:pt idx="1">
                    <c:v>0.09</c:v>
                  </c:pt>
                  <c:pt idx="2">
                    <c:v>0.13</c:v>
                  </c:pt>
                  <c:pt idx="3">
                    <c:v>0.12</c:v>
                  </c:pt>
                  <c:pt idx="4">
                    <c:v>0.09</c:v>
                  </c:pt>
                  <c:pt idx="5">
                    <c:v>0.1</c:v>
                  </c:pt>
                  <c:pt idx="6">
                    <c:v>0.105</c:v>
                  </c:pt>
                </c:numCache>
              </c:numRef>
            </c:plus>
            <c:minus>
              <c:numRef>
                <c:f>Лист31!$J$51:$P$51</c:f>
                <c:numCache>
                  <c:formatCode>General</c:formatCode>
                  <c:ptCount val="7"/>
                  <c:pt idx="0">
                    <c:v>0.08</c:v>
                  </c:pt>
                  <c:pt idx="1">
                    <c:v>0.09</c:v>
                  </c:pt>
                  <c:pt idx="2">
                    <c:v>0.13</c:v>
                  </c:pt>
                  <c:pt idx="3">
                    <c:v>0.12</c:v>
                  </c:pt>
                  <c:pt idx="4">
                    <c:v>0.09</c:v>
                  </c:pt>
                  <c:pt idx="5">
                    <c:v>0.1</c:v>
                  </c:pt>
                  <c:pt idx="6">
                    <c:v>0.105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Лист31!$B$51:$H$51</c:f>
              <c:numCache>
                <c:formatCode>General</c:formatCode>
                <c:ptCount val="7"/>
                <c:pt idx="0">
                  <c:v>-1.9</c:v>
                </c:pt>
                <c:pt idx="1">
                  <c:v>-2</c:v>
                </c:pt>
                <c:pt idx="2">
                  <c:v>-1.38</c:v>
                </c:pt>
                <c:pt idx="3">
                  <c:v>-1.03</c:v>
                </c:pt>
                <c:pt idx="4">
                  <c:v>0.51</c:v>
                </c:pt>
                <c:pt idx="5">
                  <c:v>0.97</c:v>
                </c:pt>
                <c:pt idx="6">
                  <c:v>0.46</c:v>
                </c:pt>
              </c:numCache>
            </c:numRef>
          </c:val>
        </c:ser>
        <c:dLbls>
          <c:showLegendKey val="0"/>
          <c:showVal val="0"/>
          <c:showCatName val="0"/>
          <c:showSerName val="0"/>
          <c:showPercent val="0"/>
          <c:showBubbleSize val="0"/>
        </c:dLbls>
        <c:gapWidth val="219"/>
        <c:overlap val="-27"/>
        <c:axId val="351541088"/>
        <c:axId val="1"/>
      </c:barChart>
      <c:catAx>
        <c:axId val="351541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p>
        </c:txPr>
        <c:crossAx val="1"/>
        <c:crosses val="autoZero"/>
        <c:auto val="1"/>
        <c:lblAlgn val="ctr"/>
        <c:lblOffset val="100"/>
        <c:noMultiLvlLbl val="0"/>
      </c:catAx>
      <c:valAx>
        <c:axId val="1"/>
        <c:scaling>
          <c:orientation val="minMax"/>
          <c:max val="1.5"/>
          <c:min val="-2"/>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pl-PL" sz="1000" b="0" i="0" u="none" strike="noStrike" kern="1200" baseline="0">
                    <a:solidFill>
                      <a:schemeClr val="tx1">
                        <a:lumMod val="65000"/>
                        <a:lumOff val="35000"/>
                      </a:schemeClr>
                    </a:solidFill>
                    <a:latin typeface="+mn-lt"/>
                    <a:ea typeface="+mn-ea"/>
                    <a:cs typeface="+mn-cs"/>
                  </a:defRPr>
                </a:pPr>
                <a:r>
                  <a:rPr lang="en-US"/>
                  <a:t>Z±SE</a:t>
                </a:r>
                <a:endParaRPr lang="ru-RU"/>
              </a:p>
            </c:rich>
          </c:tx>
          <c:layout/>
          <c:overlay val="0"/>
          <c:spPr>
            <a:noFill/>
            <a:ln w="25400">
              <a:noFill/>
            </a:ln>
          </c:spPr>
        </c:title>
        <c:numFmt formatCode="General"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p>
        </c:txPr>
        <c:crossAx val="351541088"/>
        <c:crosses val="autoZero"/>
        <c:crossBetween val="between"/>
      </c:valAx>
      <c:spPr>
        <a:noFill/>
        <a:ln w="25400">
          <a:noFill/>
        </a:ln>
      </c:spPr>
    </c:plotArea>
    <c:legend>
      <c:legendPos val="b"/>
      <c:layout/>
      <c:overlay val="0"/>
      <c:spPr>
        <a:noFill/>
        <a:ln w="25400">
          <a:noFill/>
        </a:ln>
      </c:spPr>
      <c:txPr>
        <a:bodyPr rot="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5088d2-ca09-49d9-9663-641fee5aa9a3}"/>
      </c:ext>
    </c:extLst>
  </c:chart>
  <c:spPr>
    <a:solidFill>
      <a:schemeClr val="bg1"/>
    </a:solidFill>
    <a:ln w="9525" cap="flat" cmpd="sng" algn="ctr">
      <a:solidFill>
        <a:schemeClr val="tx1">
          <a:lumMod val="15000"/>
          <a:lumOff val="85000"/>
        </a:schemeClr>
      </a:solidFill>
      <a:prstDash val="solid"/>
      <a:round/>
    </a:ln>
    <a:effectLst/>
  </c:spPr>
  <c:txPr>
    <a:bodyPr/>
    <a:lstStyle/>
    <a:p>
      <a:pPr>
        <a:defRPr lang="pl-PL"/>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Leicester City Council</Company>
  <Pages>19</Pages>
  <Words>5429</Words>
  <Characters>39107</Characters>
  <Lines>0</Lines>
  <Paragraphs>0</Paragraphs>
  <TotalTime>5</TotalTime>
  <ScaleCrop>false</ScaleCrop>
  <LinksUpToDate>false</LinksUpToDate>
  <CharactersWithSpaces>44413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2021-09-30T16:07:00Z</dcterms:created>
  <dc:creator>Library</dc:creator>
  <cp:lastModifiedBy>Walery Zukow</cp:lastModifiedBy>
  <cp:lastPrinted>2021-09-30T16:06:00Z</cp:lastPrinted>
  <dcterms:modified xsi:type="dcterms:W3CDTF">2025-05-18T10:24:32Z</dcterms:modified>
  <dc:title>Added value from European Territorial Co-operation: the impact on the young of demographic change in the Alps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48CC68C1EB5846F5A92A1754C55DAFE6_13</vt:lpwstr>
  </property>
</Properties>
</file>