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F6C92" w14:textId="77777777" w:rsidR="00495AC3" w:rsidRDefault="00495AC3" w:rsidP="00495AC3">
      <w:pPr>
        <w:spacing w:line="360" w:lineRule="auto"/>
        <w:jc w:val="both"/>
        <w:rPr>
          <w:rFonts w:asciiTheme="minorHAnsi" w:hAnsiTheme="minorHAnsi" w:cstheme="minorHAnsi"/>
          <w:b/>
          <w:bCs/>
          <w:lang w:val="en-US"/>
        </w:rPr>
      </w:pPr>
      <w:bookmarkStart w:id="0" w:name="_Hlk180450298"/>
      <w:bookmarkStart w:id="1" w:name="_Hlk180263986"/>
      <w:r w:rsidRPr="00495AC3">
        <w:rPr>
          <w:rFonts w:asciiTheme="minorHAnsi" w:hAnsiTheme="minorHAnsi" w:cstheme="minorHAnsi"/>
          <w:b/>
          <w:bCs/>
          <w:lang w:val="en-US"/>
        </w:rPr>
        <w:t xml:space="preserve">E-cigarette or vaping product use-associated lung injury </w:t>
      </w:r>
      <w:bookmarkEnd w:id="0"/>
      <w:r w:rsidRPr="00495AC3">
        <w:rPr>
          <w:rFonts w:asciiTheme="minorHAnsi" w:hAnsiTheme="minorHAnsi" w:cstheme="minorHAnsi"/>
          <w:b/>
          <w:bCs/>
          <w:lang w:val="en-US"/>
        </w:rPr>
        <w:t>(EVALI)</w:t>
      </w:r>
      <w:bookmarkEnd w:id="1"/>
      <w:r w:rsidRPr="00495AC3">
        <w:rPr>
          <w:rFonts w:asciiTheme="minorHAnsi" w:hAnsiTheme="minorHAnsi" w:cstheme="minorHAnsi"/>
          <w:b/>
          <w:bCs/>
          <w:lang w:val="en-US"/>
        </w:rPr>
        <w:t xml:space="preserve"> epidemy of 2019 and how to prevent it from happening again – a review. </w:t>
      </w:r>
    </w:p>
    <w:p w14:paraId="67962C4A" w14:textId="77777777" w:rsidR="00AD2DC7" w:rsidRPr="00495AC3" w:rsidRDefault="00AD2DC7" w:rsidP="00495AC3">
      <w:pPr>
        <w:spacing w:line="360" w:lineRule="auto"/>
        <w:jc w:val="both"/>
        <w:rPr>
          <w:rFonts w:asciiTheme="minorHAnsi" w:hAnsiTheme="minorHAnsi" w:cstheme="minorHAnsi"/>
          <w:b/>
          <w:bCs/>
          <w:lang w:val="en-US"/>
        </w:rPr>
      </w:pPr>
    </w:p>
    <w:p w14:paraId="77C51479" w14:textId="77777777" w:rsidR="00495AC3" w:rsidRDefault="00495AC3" w:rsidP="00495AC3">
      <w:pPr>
        <w:spacing w:line="360" w:lineRule="auto"/>
        <w:jc w:val="both"/>
        <w:rPr>
          <w:rFonts w:asciiTheme="minorHAnsi" w:hAnsiTheme="minorHAnsi" w:cstheme="minorHAnsi"/>
        </w:rPr>
      </w:pPr>
      <w:proofErr w:type="spellStart"/>
      <w:r w:rsidRPr="00495AC3">
        <w:rPr>
          <w:rFonts w:asciiTheme="minorHAnsi" w:hAnsiTheme="minorHAnsi" w:cstheme="minorHAnsi"/>
          <w:b/>
          <w:bCs/>
          <w:lang w:val="en-US"/>
        </w:rPr>
        <w:t>Konstanty</w:t>
      </w:r>
      <w:proofErr w:type="spellEnd"/>
      <w:r w:rsidRPr="00495AC3">
        <w:rPr>
          <w:rFonts w:asciiTheme="minorHAnsi" w:hAnsiTheme="minorHAnsi" w:cstheme="minorHAnsi"/>
          <w:b/>
          <w:bCs/>
          <w:lang w:val="en-US"/>
        </w:rPr>
        <w:t xml:space="preserve"> </w:t>
      </w:r>
      <w:proofErr w:type="spellStart"/>
      <w:r w:rsidRPr="00495AC3">
        <w:rPr>
          <w:rFonts w:asciiTheme="minorHAnsi" w:hAnsiTheme="minorHAnsi" w:cstheme="minorHAnsi"/>
          <w:b/>
          <w:bCs/>
          <w:lang w:val="en-US"/>
        </w:rPr>
        <w:t>Alabrudziński</w:t>
      </w:r>
      <w:proofErr w:type="spellEnd"/>
      <w:r w:rsidRPr="00495AC3">
        <w:rPr>
          <w:rFonts w:asciiTheme="minorHAnsi" w:hAnsiTheme="minorHAnsi" w:cstheme="minorHAnsi"/>
          <w:b/>
          <w:bCs/>
          <w:lang w:val="en-US"/>
        </w:rPr>
        <w:t xml:space="preserve"> [KA]</w:t>
      </w:r>
      <w:r w:rsidRPr="00495AC3">
        <w:rPr>
          <w:rFonts w:asciiTheme="minorHAnsi" w:hAnsiTheme="minorHAnsi" w:cstheme="minorHAnsi"/>
          <w:lang w:val="en-US"/>
        </w:rPr>
        <w:t xml:space="preserve">, School of Medicine Collegium </w:t>
      </w:r>
      <w:proofErr w:type="spellStart"/>
      <w:r w:rsidRPr="00495AC3">
        <w:rPr>
          <w:rFonts w:asciiTheme="minorHAnsi" w:hAnsiTheme="minorHAnsi" w:cstheme="minorHAnsi"/>
          <w:lang w:val="en-US"/>
        </w:rPr>
        <w:t>Medicum</w:t>
      </w:r>
      <w:proofErr w:type="spellEnd"/>
      <w:r w:rsidRPr="00495AC3">
        <w:rPr>
          <w:rFonts w:asciiTheme="minorHAnsi" w:hAnsiTheme="minorHAnsi" w:cstheme="minorHAnsi"/>
          <w:lang w:val="en-US"/>
        </w:rPr>
        <w:t xml:space="preserve"> University of Warmia and </w:t>
      </w:r>
      <w:proofErr w:type="spellStart"/>
      <w:r w:rsidRPr="00495AC3">
        <w:rPr>
          <w:rFonts w:asciiTheme="minorHAnsi" w:hAnsiTheme="minorHAnsi" w:cstheme="minorHAnsi"/>
          <w:lang w:val="en-US"/>
        </w:rPr>
        <w:t>Mazury</w:t>
      </w:r>
      <w:proofErr w:type="spellEnd"/>
      <w:r w:rsidRPr="00495AC3">
        <w:rPr>
          <w:rFonts w:asciiTheme="minorHAnsi" w:hAnsiTheme="minorHAnsi" w:cstheme="minorHAnsi"/>
          <w:lang w:val="en-US"/>
        </w:rPr>
        <w:t xml:space="preserve"> in Olsztyn, </w:t>
      </w:r>
      <w:proofErr w:type="spellStart"/>
      <w:r w:rsidRPr="00495AC3">
        <w:rPr>
          <w:rFonts w:asciiTheme="minorHAnsi" w:hAnsiTheme="minorHAnsi" w:cstheme="minorHAnsi"/>
          <w:lang w:val="en-US"/>
        </w:rPr>
        <w:t>ul</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Oczapowskiego</w:t>
      </w:r>
      <w:proofErr w:type="spellEnd"/>
      <w:r w:rsidRPr="00495AC3">
        <w:rPr>
          <w:rFonts w:asciiTheme="minorHAnsi" w:hAnsiTheme="minorHAnsi" w:cstheme="minorHAnsi"/>
          <w:lang w:val="en-US"/>
        </w:rPr>
        <w:t xml:space="preserve"> 2, 10-719 Olsztyn, Poland, ORCID: 0009-0008-4729-0937, </w:t>
      </w:r>
      <w:hyperlink r:id="rId8" w:history="1">
        <w:r w:rsidRPr="00495AC3">
          <w:rPr>
            <w:rStyle w:val="Hipercze"/>
            <w:rFonts w:asciiTheme="minorHAnsi" w:hAnsiTheme="minorHAnsi" w:cstheme="minorHAnsi"/>
            <w:lang w:val="en-US"/>
          </w:rPr>
          <w:t>konstanty.alabrudzinski@gmail.com</w:t>
        </w:r>
      </w:hyperlink>
    </w:p>
    <w:p w14:paraId="09B3D1CD" w14:textId="77777777" w:rsidR="00AD2DC7" w:rsidRPr="00495AC3" w:rsidRDefault="00AD2DC7" w:rsidP="00495AC3">
      <w:pPr>
        <w:spacing w:line="360" w:lineRule="auto"/>
        <w:jc w:val="both"/>
        <w:rPr>
          <w:rFonts w:asciiTheme="minorHAnsi" w:hAnsiTheme="minorHAnsi" w:cstheme="minorHAnsi"/>
          <w:lang w:val="en-US"/>
        </w:rPr>
      </w:pPr>
    </w:p>
    <w:p w14:paraId="5EAF5453"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 xml:space="preserve">Anna </w:t>
      </w:r>
      <w:proofErr w:type="spellStart"/>
      <w:r w:rsidRPr="00495AC3">
        <w:rPr>
          <w:rFonts w:asciiTheme="minorHAnsi" w:hAnsiTheme="minorHAnsi" w:cstheme="minorHAnsi"/>
          <w:b/>
          <w:bCs/>
          <w:lang w:val="en-US"/>
        </w:rPr>
        <w:t>Wilewska</w:t>
      </w:r>
      <w:proofErr w:type="spellEnd"/>
      <w:r w:rsidRPr="00495AC3">
        <w:rPr>
          <w:rFonts w:asciiTheme="minorHAnsi" w:hAnsiTheme="minorHAnsi" w:cstheme="minorHAnsi"/>
          <w:b/>
          <w:bCs/>
          <w:lang w:val="en-US"/>
        </w:rPr>
        <w:t xml:space="preserve"> [AW]</w:t>
      </w:r>
      <w:r w:rsidRPr="00495AC3">
        <w:rPr>
          <w:rFonts w:asciiTheme="minorHAnsi" w:hAnsiTheme="minorHAnsi" w:cstheme="minorHAnsi"/>
          <w:lang w:val="en-US"/>
        </w:rPr>
        <w:t xml:space="preserve">, Faculty of Medicine, Medical University of Warsaw, </w:t>
      </w:r>
      <w:proofErr w:type="spellStart"/>
      <w:r w:rsidRPr="00495AC3">
        <w:rPr>
          <w:rFonts w:asciiTheme="minorHAnsi" w:hAnsiTheme="minorHAnsi" w:cstheme="minorHAnsi"/>
          <w:lang w:val="en-US"/>
        </w:rPr>
        <w:t>Żwirki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Wigury</w:t>
      </w:r>
      <w:proofErr w:type="spellEnd"/>
      <w:r w:rsidRPr="00495AC3">
        <w:rPr>
          <w:rFonts w:asciiTheme="minorHAnsi" w:hAnsiTheme="minorHAnsi" w:cstheme="minorHAnsi"/>
          <w:lang w:val="en-US"/>
        </w:rPr>
        <w:t xml:space="preserve"> 61, 02-091 Warsaw, Poland, ORCID: 0009-0001-5136-4598, </w:t>
      </w:r>
      <w:hyperlink r:id="rId9" w:history="1">
        <w:r w:rsidRPr="00495AC3">
          <w:rPr>
            <w:rStyle w:val="Hipercze"/>
            <w:rFonts w:asciiTheme="minorHAnsi" w:hAnsiTheme="minorHAnsi" w:cstheme="minorHAnsi"/>
            <w:lang w:val="en-US"/>
          </w:rPr>
          <w:t>wilewskaanna2000@gmail.com</w:t>
        </w:r>
      </w:hyperlink>
    </w:p>
    <w:p w14:paraId="3D157444" w14:textId="77777777" w:rsidR="00AD2DC7" w:rsidRPr="00495AC3" w:rsidRDefault="00AD2DC7" w:rsidP="00495AC3">
      <w:pPr>
        <w:spacing w:line="360" w:lineRule="auto"/>
        <w:jc w:val="both"/>
        <w:rPr>
          <w:rFonts w:asciiTheme="minorHAnsi" w:hAnsiTheme="minorHAnsi" w:cstheme="minorHAnsi"/>
          <w:lang w:val="en-US"/>
        </w:rPr>
      </w:pPr>
    </w:p>
    <w:p w14:paraId="0742E36D"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 xml:space="preserve">Bartosz </w:t>
      </w:r>
      <w:proofErr w:type="spellStart"/>
      <w:r w:rsidRPr="00495AC3">
        <w:rPr>
          <w:rFonts w:asciiTheme="minorHAnsi" w:hAnsiTheme="minorHAnsi" w:cstheme="minorHAnsi"/>
          <w:b/>
          <w:bCs/>
          <w:lang w:val="en-US"/>
        </w:rPr>
        <w:t>Pomirski</w:t>
      </w:r>
      <w:proofErr w:type="spellEnd"/>
      <w:r w:rsidRPr="00495AC3">
        <w:rPr>
          <w:rFonts w:asciiTheme="minorHAnsi" w:hAnsiTheme="minorHAnsi" w:cstheme="minorHAnsi"/>
          <w:b/>
          <w:bCs/>
          <w:lang w:val="en-US"/>
        </w:rPr>
        <w:t xml:space="preserve"> [BP]</w:t>
      </w:r>
      <w:r w:rsidRPr="00495AC3">
        <w:rPr>
          <w:rFonts w:asciiTheme="minorHAnsi" w:hAnsiTheme="minorHAnsi" w:cstheme="minorHAnsi"/>
          <w:lang w:val="en-US"/>
        </w:rPr>
        <w:t xml:space="preserve">, Faculty of Medicine, Medical University of Warsaw, </w:t>
      </w:r>
      <w:proofErr w:type="spellStart"/>
      <w:r w:rsidRPr="00495AC3">
        <w:rPr>
          <w:rFonts w:asciiTheme="minorHAnsi" w:hAnsiTheme="minorHAnsi" w:cstheme="minorHAnsi"/>
          <w:lang w:val="en-US"/>
        </w:rPr>
        <w:t>Żwirki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Wigury</w:t>
      </w:r>
      <w:proofErr w:type="spellEnd"/>
      <w:r w:rsidRPr="00495AC3">
        <w:rPr>
          <w:rFonts w:asciiTheme="minorHAnsi" w:hAnsiTheme="minorHAnsi" w:cstheme="minorHAnsi"/>
          <w:lang w:val="en-US"/>
        </w:rPr>
        <w:t xml:space="preserve"> 61, 02-091 Warsaw, Poland, ORCID: 0009-0004-4868-0073, </w:t>
      </w:r>
      <w:hyperlink r:id="rId10" w:history="1">
        <w:r w:rsidRPr="00495AC3">
          <w:rPr>
            <w:rStyle w:val="Hipercze"/>
            <w:rFonts w:asciiTheme="minorHAnsi" w:hAnsiTheme="minorHAnsi" w:cstheme="minorHAnsi"/>
            <w:lang w:val="en-US"/>
          </w:rPr>
          <w:t>bartosz.pomirski@gmail.com</w:t>
        </w:r>
      </w:hyperlink>
    </w:p>
    <w:p w14:paraId="34929206" w14:textId="77777777" w:rsidR="00AD2DC7" w:rsidRPr="00495AC3" w:rsidRDefault="00AD2DC7" w:rsidP="00495AC3">
      <w:pPr>
        <w:spacing w:line="360" w:lineRule="auto"/>
        <w:jc w:val="both"/>
        <w:rPr>
          <w:rFonts w:asciiTheme="minorHAnsi" w:hAnsiTheme="minorHAnsi" w:cstheme="minorHAnsi"/>
          <w:lang w:val="en-US"/>
        </w:rPr>
      </w:pPr>
    </w:p>
    <w:p w14:paraId="2C1B75F6"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 xml:space="preserve">Julia </w:t>
      </w:r>
      <w:proofErr w:type="spellStart"/>
      <w:r w:rsidRPr="00495AC3">
        <w:rPr>
          <w:rFonts w:asciiTheme="minorHAnsi" w:hAnsiTheme="minorHAnsi" w:cstheme="minorHAnsi"/>
          <w:b/>
          <w:bCs/>
          <w:lang w:val="en-US"/>
        </w:rPr>
        <w:t>Biernikiewicz</w:t>
      </w:r>
      <w:proofErr w:type="spellEnd"/>
      <w:r w:rsidRPr="00495AC3">
        <w:rPr>
          <w:rFonts w:asciiTheme="minorHAnsi" w:hAnsiTheme="minorHAnsi" w:cstheme="minorHAnsi"/>
          <w:b/>
          <w:bCs/>
          <w:lang w:val="en-US"/>
        </w:rPr>
        <w:t xml:space="preserve"> [JB]</w:t>
      </w:r>
      <w:r w:rsidRPr="00495AC3">
        <w:rPr>
          <w:rFonts w:asciiTheme="minorHAnsi" w:hAnsiTheme="minorHAnsi" w:cstheme="minorHAnsi"/>
          <w:lang w:val="en-US"/>
        </w:rPr>
        <w:t xml:space="preserve">, Faculty of Medicine, Medical University of Warsaw, </w:t>
      </w:r>
      <w:proofErr w:type="spellStart"/>
      <w:r w:rsidRPr="00495AC3">
        <w:rPr>
          <w:rFonts w:asciiTheme="minorHAnsi" w:hAnsiTheme="minorHAnsi" w:cstheme="minorHAnsi"/>
          <w:lang w:val="en-US"/>
        </w:rPr>
        <w:t>Żwirki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Wigury</w:t>
      </w:r>
      <w:proofErr w:type="spellEnd"/>
      <w:r w:rsidRPr="00495AC3">
        <w:rPr>
          <w:rFonts w:asciiTheme="minorHAnsi" w:hAnsiTheme="minorHAnsi" w:cstheme="minorHAnsi"/>
          <w:lang w:val="en-US"/>
        </w:rPr>
        <w:t xml:space="preserve"> 61, 02-091 Warsaw, Poland, ORCID: 0009-0004-1192-9365, </w:t>
      </w:r>
      <w:hyperlink r:id="rId11" w:history="1">
        <w:r w:rsidRPr="00495AC3">
          <w:rPr>
            <w:rStyle w:val="Hipercze"/>
            <w:rFonts w:asciiTheme="minorHAnsi" w:hAnsiTheme="minorHAnsi" w:cstheme="minorHAnsi"/>
            <w:lang w:val="en-US"/>
          </w:rPr>
          <w:t>biernikiewiczjulia@gmail.com</w:t>
        </w:r>
      </w:hyperlink>
    </w:p>
    <w:p w14:paraId="653FA9EB" w14:textId="77777777" w:rsidR="00AD2DC7" w:rsidRPr="00495AC3" w:rsidRDefault="00AD2DC7" w:rsidP="00495AC3">
      <w:pPr>
        <w:spacing w:line="360" w:lineRule="auto"/>
        <w:jc w:val="both"/>
        <w:rPr>
          <w:rFonts w:asciiTheme="minorHAnsi" w:hAnsiTheme="minorHAnsi" w:cstheme="minorHAnsi"/>
          <w:lang w:val="en-US"/>
        </w:rPr>
      </w:pPr>
    </w:p>
    <w:p w14:paraId="34891C09"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lastRenderedPageBreak/>
        <w:t xml:space="preserve">Milena </w:t>
      </w:r>
      <w:proofErr w:type="spellStart"/>
      <w:r w:rsidRPr="00495AC3">
        <w:rPr>
          <w:rFonts w:asciiTheme="minorHAnsi" w:hAnsiTheme="minorHAnsi" w:cstheme="minorHAnsi"/>
          <w:b/>
          <w:bCs/>
          <w:lang w:val="en-US"/>
        </w:rPr>
        <w:t>Biernikiewicz</w:t>
      </w:r>
      <w:proofErr w:type="spellEnd"/>
      <w:r w:rsidRPr="00495AC3">
        <w:rPr>
          <w:rFonts w:asciiTheme="minorHAnsi" w:hAnsiTheme="minorHAnsi" w:cstheme="minorHAnsi"/>
          <w:b/>
          <w:bCs/>
          <w:lang w:val="en-US"/>
        </w:rPr>
        <w:t xml:space="preserve"> [MB]</w:t>
      </w:r>
      <w:r w:rsidRPr="00495AC3">
        <w:rPr>
          <w:rFonts w:asciiTheme="minorHAnsi" w:hAnsiTheme="minorHAnsi" w:cstheme="minorHAnsi"/>
          <w:lang w:val="en-US"/>
        </w:rPr>
        <w:t xml:space="preserve">, Faculty of Medicine Wroclaw Medical University, </w:t>
      </w:r>
      <w:proofErr w:type="spellStart"/>
      <w:r w:rsidRPr="00495AC3">
        <w:rPr>
          <w:rFonts w:asciiTheme="minorHAnsi" w:hAnsiTheme="minorHAnsi" w:cstheme="minorHAnsi"/>
          <w:lang w:val="en-US"/>
        </w:rPr>
        <w:t>Wybrzeże</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Ludwika</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Pasteura</w:t>
      </w:r>
      <w:proofErr w:type="spellEnd"/>
      <w:r w:rsidRPr="00495AC3">
        <w:rPr>
          <w:rFonts w:asciiTheme="minorHAnsi" w:hAnsiTheme="minorHAnsi" w:cstheme="minorHAnsi"/>
          <w:lang w:val="en-US"/>
        </w:rPr>
        <w:t xml:space="preserve"> 1, 50-367 Wroclaw, Poland, ORCID: 0009-0006-7288-6965, </w:t>
      </w:r>
      <w:hyperlink r:id="rId12" w:history="1">
        <w:r w:rsidRPr="00495AC3">
          <w:rPr>
            <w:rStyle w:val="Hipercze"/>
            <w:rFonts w:asciiTheme="minorHAnsi" w:hAnsiTheme="minorHAnsi" w:cstheme="minorHAnsi"/>
            <w:lang w:val="en-US"/>
          </w:rPr>
          <w:t>milenabiernikiewicz@gmail.com</w:t>
        </w:r>
      </w:hyperlink>
    </w:p>
    <w:p w14:paraId="340B44B4" w14:textId="77777777" w:rsidR="00AD2DC7" w:rsidRPr="00495AC3" w:rsidRDefault="00AD2DC7" w:rsidP="00495AC3">
      <w:pPr>
        <w:spacing w:line="360" w:lineRule="auto"/>
        <w:jc w:val="both"/>
        <w:rPr>
          <w:rFonts w:asciiTheme="minorHAnsi" w:hAnsiTheme="minorHAnsi" w:cstheme="minorHAnsi"/>
          <w:lang w:val="en-US"/>
        </w:rPr>
      </w:pPr>
    </w:p>
    <w:p w14:paraId="0B054B8E"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 xml:space="preserve">Agata </w:t>
      </w:r>
      <w:proofErr w:type="spellStart"/>
      <w:r w:rsidRPr="00495AC3">
        <w:rPr>
          <w:rFonts w:asciiTheme="minorHAnsi" w:hAnsiTheme="minorHAnsi" w:cstheme="minorHAnsi"/>
          <w:b/>
          <w:bCs/>
          <w:lang w:val="en-US"/>
        </w:rPr>
        <w:t>Pomirska</w:t>
      </w:r>
      <w:proofErr w:type="spellEnd"/>
      <w:r w:rsidRPr="00495AC3">
        <w:rPr>
          <w:rFonts w:asciiTheme="minorHAnsi" w:hAnsiTheme="minorHAnsi" w:cstheme="minorHAnsi"/>
          <w:b/>
          <w:bCs/>
          <w:lang w:val="en-US"/>
        </w:rPr>
        <w:t xml:space="preserve"> [AP]</w:t>
      </w:r>
      <w:r w:rsidRPr="00495AC3">
        <w:rPr>
          <w:rFonts w:asciiTheme="minorHAnsi" w:hAnsiTheme="minorHAnsi" w:cstheme="minorHAnsi"/>
          <w:lang w:val="en-US"/>
        </w:rPr>
        <w:t xml:space="preserve">, Faculty of Medicine, Medical University of Warsaw, </w:t>
      </w:r>
      <w:proofErr w:type="spellStart"/>
      <w:r w:rsidRPr="00495AC3">
        <w:rPr>
          <w:rFonts w:asciiTheme="minorHAnsi" w:hAnsiTheme="minorHAnsi" w:cstheme="minorHAnsi"/>
          <w:lang w:val="en-US"/>
        </w:rPr>
        <w:t>Żwirki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Wigury</w:t>
      </w:r>
      <w:proofErr w:type="spellEnd"/>
      <w:r w:rsidRPr="00495AC3">
        <w:rPr>
          <w:rFonts w:asciiTheme="minorHAnsi" w:hAnsiTheme="minorHAnsi" w:cstheme="minorHAnsi"/>
          <w:lang w:val="en-US"/>
        </w:rPr>
        <w:t xml:space="preserve"> 61, 02-091 Warsaw, Poland, ORCID: 0009-0009-5367-7123, </w:t>
      </w:r>
      <w:hyperlink r:id="rId13" w:history="1">
        <w:r w:rsidRPr="00495AC3">
          <w:rPr>
            <w:rStyle w:val="Hipercze"/>
            <w:rFonts w:asciiTheme="minorHAnsi" w:hAnsiTheme="minorHAnsi" w:cstheme="minorHAnsi"/>
            <w:lang w:val="en-US"/>
          </w:rPr>
          <w:t>pomirska.agata@gmail.com</w:t>
        </w:r>
      </w:hyperlink>
    </w:p>
    <w:p w14:paraId="4AFFFEB6" w14:textId="77777777" w:rsidR="00AD2DC7" w:rsidRPr="00495AC3" w:rsidRDefault="00AD2DC7" w:rsidP="00495AC3">
      <w:pPr>
        <w:spacing w:line="360" w:lineRule="auto"/>
        <w:jc w:val="both"/>
        <w:rPr>
          <w:rFonts w:asciiTheme="minorHAnsi" w:hAnsiTheme="minorHAnsi" w:cstheme="minorHAnsi"/>
          <w:lang w:val="en-US"/>
        </w:rPr>
      </w:pPr>
    </w:p>
    <w:p w14:paraId="65304899"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rPr>
        <w:t>Agnieszka Borowiec [AB]</w:t>
      </w:r>
      <w:r w:rsidRPr="00495AC3">
        <w:rPr>
          <w:rFonts w:asciiTheme="minorHAnsi" w:hAnsiTheme="minorHAnsi" w:cstheme="minorHAnsi"/>
        </w:rPr>
        <w:t xml:space="preserve">, The </w:t>
      </w:r>
      <w:proofErr w:type="spellStart"/>
      <w:r w:rsidRPr="00495AC3">
        <w:rPr>
          <w:rFonts w:asciiTheme="minorHAnsi" w:hAnsiTheme="minorHAnsi" w:cstheme="minorHAnsi"/>
        </w:rPr>
        <w:t>Regional</w:t>
      </w:r>
      <w:proofErr w:type="spellEnd"/>
      <w:r w:rsidRPr="00495AC3">
        <w:rPr>
          <w:rFonts w:asciiTheme="minorHAnsi" w:hAnsiTheme="minorHAnsi" w:cstheme="minorHAnsi"/>
        </w:rPr>
        <w:t xml:space="preserve"> </w:t>
      </w:r>
      <w:proofErr w:type="spellStart"/>
      <w:r w:rsidRPr="00495AC3">
        <w:rPr>
          <w:rFonts w:asciiTheme="minorHAnsi" w:hAnsiTheme="minorHAnsi" w:cstheme="minorHAnsi"/>
        </w:rPr>
        <w:t>Specialist</w:t>
      </w:r>
      <w:proofErr w:type="spellEnd"/>
      <w:r w:rsidRPr="00495AC3">
        <w:rPr>
          <w:rFonts w:asciiTheme="minorHAnsi" w:hAnsiTheme="minorHAnsi" w:cstheme="minorHAnsi"/>
        </w:rPr>
        <w:t xml:space="preserve"> </w:t>
      </w:r>
      <w:proofErr w:type="spellStart"/>
      <w:r w:rsidRPr="00495AC3">
        <w:rPr>
          <w:rFonts w:asciiTheme="minorHAnsi" w:hAnsiTheme="minorHAnsi" w:cstheme="minorHAnsi"/>
        </w:rPr>
        <w:t>Hospital</w:t>
      </w:r>
      <w:proofErr w:type="spellEnd"/>
      <w:r w:rsidRPr="00495AC3">
        <w:rPr>
          <w:rFonts w:asciiTheme="minorHAnsi" w:hAnsiTheme="minorHAnsi" w:cstheme="minorHAnsi"/>
        </w:rPr>
        <w:t xml:space="preserve"> in </w:t>
      </w:r>
      <w:proofErr w:type="spellStart"/>
      <w:r w:rsidRPr="00495AC3">
        <w:rPr>
          <w:rFonts w:asciiTheme="minorHAnsi" w:hAnsiTheme="minorHAnsi" w:cstheme="minorHAnsi"/>
        </w:rPr>
        <w:t>Biala</w:t>
      </w:r>
      <w:proofErr w:type="spellEnd"/>
      <w:r w:rsidRPr="00495AC3">
        <w:rPr>
          <w:rFonts w:asciiTheme="minorHAnsi" w:hAnsiTheme="minorHAnsi" w:cstheme="minorHAnsi"/>
        </w:rPr>
        <w:t xml:space="preserve"> Podlaska, </w:t>
      </w:r>
      <w:proofErr w:type="spellStart"/>
      <w:r w:rsidRPr="00495AC3">
        <w:rPr>
          <w:rFonts w:asciiTheme="minorHAnsi" w:hAnsiTheme="minorHAnsi" w:cstheme="minorHAnsi"/>
        </w:rPr>
        <w:t>Terebelska</w:t>
      </w:r>
      <w:proofErr w:type="spellEnd"/>
      <w:r w:rsidRPr="00495AC3">
        <w:rPr>
          <w:rFonts w:asciiTheme="minorHAnsi" w:hAnsiTheme="minorHAnsi" w:cstheme="minorHAnsi"/>
        </w:rPr>
        <w:t xml:space="preserve"> 57-65 21-500, Biała Podlaska, Poland, ORCID: 0000-0002-1428-170X, </w:t>
      </w:r>
      <w:hyperlink r:id="rId14" w:history="1">
        <w:r w:rsidRPr="00495AC3">
          <w:rPr>
            <w:rStyle w:val="Hipercze"/>
            <w:rFonts w:asciiTheme="minorHAnsi" w:hAnsiTheme="minorHAnsi" w:cstheme="minorHAnsi"/>
          </w:rPr>
          <w:t>borowiec.agn@gmail.com</w:t>
        </w:r>
      </w:hyperlink>
    </w:p>
    <w:p w14:paraId="4FB84720" w14:textId="77777777" w:rsidR="00AD2DC7" w:rsidRPr="00495AC3" w:rsidRDefault="00AD2DC7" w:rsidP="00495AC3">
      <w:pPr>
        <w:spacing w:line="360" w:lineRule="auto"/>
        <w:jc w:val="both"/>
        <w:rPr>
          <w:rStyle w:val="Hipercze"/>
          <w:rFonts w:asciiTheme="minorHAnsi" w:hAnsiTheme="minorHAnsi" w:cstheme="minorHAnsi"/>
        </w:rPr>
      </w:pPr>
    </w:p>
    <w:p w14:paraId="085DF066"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 xml:space="preserve">Paulina </w:t>
      </w:r>
      <w:proofErr w:type="spellStart"/>
      <w:r w:rsidRPr="00495AC3">
        <w:rPr>
          <w:rFonts w:asciiTheme="minorHAnsi" w:hAnsiTheme="minorHAnsi" w:cstheme="minorHAnsi"/>
          <w:b/>
          <w:bCs/>
          <w:lang w:val="en-US"/>
        </w:rPr>
        <w:t>Kwaśniewska</w:t>
      </w:r>
      <w:proofErr w:type="spellEnd"/>
      <w:r w:rsidRPr="00495AC3">
        <w:rPr>
          <w:rFonts w:asciiTheme="minorHAnsi" w:hAnsiTheme="minorHAnsi" w:cstheme="minorHAnsi"/>
          <w:b/>
          <w:bCs/>
          <w:lang w:val="en-US"/>
        </w:rPr>
        <w:t xml:space="preserve"> [PK]</w:t>
      </w:r>
      <w:r w:rsidRPr="00495AC3">
        <w:rPr>
          <w:rFonts w:asciiTheme="minorHAnsi" w:hAnsiTheme="minorHAnsi" w:cstheme="minorHAnsi"/>
          <w:lang w:val="en-US"/>
        </w:rPr>
        <w:t xml:space="preserve">, Faculty of Medicine, Medical University of Warsaw, </w:t>
      </w:r>
      <w:proofErr w:type="spellStart"/>
      <w:r w:rsidRPr="00495AC3">
        <w:rPr>
          <w:rFonts w:asciiTheme="minorHAnsi" w:hAnsiTheme="minorHAnsi" w:cstheme="minorHAnsi"/>
          <w:lang w:val="en-US"/>
        </w:rPr>
        <w:t>Żwirki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Wigury</w:t>
      </w:r>
      <w:proofErr w:type="spellEnd"/>
      <w:r w:rsidRPr="00495AC3">
        <w:rPr>
          <w:rFonts w:asciiTheme="minorHAnsi" w:hAnsiTheme="minorHAnsi" w:cstheme="minorHAnsi"/>
          <w:lang w:val="en-US"/>
        </w:rPr>
        <w:t xml:space="preserve"> 61, 02-091 Warsaw, Poland, ORCID: 0009-0009-4677-3387, </w:t>
      </w:r>
      <w:hyperlink r:id="rId15" w:history="1">
        <w:r w:rsidRPr="00495AC3">
          <w:rPr>
            <w:rStyle w:val="Hipercze"/>
            <w:rFonts w:asciiTheme="minorHAnsi" w:hAnsiTheme="minorHAnsi" w:cstheme="minorHAnsi"/>
            <w:lang w:val="en-US"/>
          </w:rPr>
          <w:t>paulinakwasniewska12@gmail.com</w:t>
        </w:r>
      </w:hyperlink>
    </w:p>
    <w:p w14:paraId="57635F56" w14:textId="77777777" w:rsidR="00AD2DC7" w:rsidRPr="00495AC3" w:rsidRDefault="00AD2DC7" w:rsidP="00495AC3">
      <w:pPr>
        <w:spacing w:line="360" w:lineRule="auto"/>
        <w:jc w:val="both"/>
        <w:rPr>
          <w:rFonts w:asciiTheme="minorHAnsi" w:hAnsiTheme="minorHAnsi" w:cstheme="minorHAnsi"/>
          <w:lang w:val="en-US"/>
        </w:rPr>
      </w:pPr>
    </w:p>
    <w:p w14:paraId="16DC323A"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 xml:space="preserve">Kinga </w:t>
      </w:r>
      <w:proofErr w:type="spellStart"/>
      <w:r w:rsidRPr="00495AC3">
        <w:rPr>
          <w:rFonts w:asciiTheme="minorHAnsi" w:hAnsiTheme="minorHAnsi" w:cstheme="minorHAnsi"/>
          <w:b/>
          <w:bCs/>
          <w:lang w:val="en-US"/>
        </w:rPr>
        <w:t>Borowiec</w:t>
      </w:r>
      <w:proofErr w:type="spellEnd"/>
      <w:r w:rsidRPr="00495AC3">
        <w:rPr>
          <w:rFonts w:asciiTheme="minorHAnsi" w:hAnsiTheme="minorHAnsi" w:cstheme="minorHAnsi"/>
          <w:b/>
          <w:bCs/>
          <w:lang w:val="en-US"/>
        </w:rPr>
        <w:t xml:space="preserve"> [KB]</w:t>
      </w:r>
      <w:r w:rsidRPr="00495AC3">
        <w:rPr>
          <w:rFonts w:asciiTheme="minorHAnsi" w:hAnsiTheme="minorHAnsi" w:cstheme="minorHAnsi"/>
          <w:lang w:val="en-US"/>
        </w:rPr>
        <w:t xml:space="preserve">, Faculty of Medicine, Medical University of Warsaw, </w:t>
      </w:r>
      <w:proofErr w:type="spellStart"/>
      <w:r w:rsidRPr="00495AC3">
        <w:rPr>
          <w:rFonts w:asciiTheme="minorHAnsi" w:hAnsiTheme="minorHAnsi" w:cstheme="minorHAnsi"/>
          <w:lang w:val="en-US"/>
        </w:rPr>
        <w:t>Żwirki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i</w:t>
      </w:r>
      <w:proofErr w:type="spellEnd"/>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Wigury</w:t>
      </w:r>
      <w:proofErr w:type="spellEnd"/>
      <w:r w:rsidRPr="00495AC3">
        <w:rPr>
          <w:rFonts w:asciiTheme="minorHAnsi" w:hAnsiTheme="minorHAnsi" w:cstheme="minorHAnsi"/>
          <w:lang w:val="en-US"/>
        </w:rPr>
        <w:t xml:space="preserve"> 61, 02-091 Warsaw, Poland, ORCID: 0009-0000-5546-9787, </w:t>
      </w:r>
      <w:hyperlink r:id="rId16" w:history="1">
        <w:r w:rsidRPr="00495AC3">
          <w:rPr>
            <w:rStyle w:val="Hipercze"/>
            <w:rFonts w:asciiTheme="minorHAnsi" w:hAnsiTheme="minorHAnsi" w:cstheme="minorHAnsi"/>
            <w:lang w:val="en-US"/>
          </w:rPr>
          <w:t>kingaborowiec07@gmail.com</w:t>
        </w:r>
      </w:hyperlink>
    </w:p>
    <w:p w14:paraId="205E1A47" w14:textId="77777777" w:rsidR="00AD2DC7" w:rsidRPr="00495AC3" w:rsidRDefault="00AD2DC7" w:rsidP="00495AC3">
      <w:pPr>
        <w:spacing w:line="360" w:lineRule="auto"/>
        <w:jc w:val="both"/>
        <w:rPr>
          <w:rStyle w:val="Hipercze"/>
          <w:rFonts w:asciiTheme="minorHAnsi" w:hAnsiTheme="minorHAnsi" w:cstheme="minorHAnsi"/>
          <w:lang w:val="en-US"/>
        </w:rPr>
      </w:pPr>
    </w:p>
    <w:p w14:paraId="187FA541" w14:textId="77777777" w:rsid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b/>
          <w:bCs/>
          <w:lang w:val="en-US"/>
        </w:rPr>
        <w:t>Aleksandra Dach [AD]</w:t>
      </w:r>
      <w:r w:rsidRPr="00495AC3">
        <w:rPr>
          <w:rFonts w:asciiTheme="minorHAnsi" w:hAnsiTheme="minorHAnsi" w:cstheme="minorHAnsi"/>
          <w:lang w:val="en-US"/>
        </w:rPr>
        <w:t xml:space="preserve">, Faculty of Medicine, Pomeranian Medical University of Szczecin, </w:t>
      </w:r>
      <w:proofErr w:type="spellStart"/>
      <w:r w:rsidRPr="00495AC3">
        <w:rPr>
          <w:rFonts w:asciiTheme="minorHAnsi" w:hAnsiTheme="minorHAnsi" w:cstheme="minorHAnsi"/>
          <w:lang w:val="en-US"/>
        </w:rPr>
        <w:t>Rybacka</w:t>
      </w:r>
      <w:proofErr w:type="spellEnd"/>
      <w:r w:rsidRPr="00495AC3">
        <w:rPr>
          <w:rFonts w:asciiTheme="minorHAnsi" w:hAnsiTheme="minorHAnsi" w:cstheme="minorHAnsi"/>
          <w:lang w:val="en-US"/>
        </w:rPr>
        <w:t xml:space="preserve"> 1, 70-204 Szczecin, Poland, ORCID: 0009-0009-8798-5415,  </w:t>
      </w:r>
      <w:hyperlink r:id="rId17" w:history="1">
        <w:r w:rsidRPr="00495AC3">
          <w:rPr>
            <w:rStyle w:val="Hipercze"/>
            <w:rFonts w:asciiTheme="minorHAnsi" w:hAnsiTheme="minorHAnsi" w:cstheme="minorHAnsi"/>
            <w:lang w:val="en-US"/>
          </w:rPr>
          <w:t>dach.aleksandra@icloud.com</w:t>
        </w:r>
      </w:hyperlink>
    </w:p>
    <w:p w14:paraId="3533AF59" w14:textId="77777777" w:rsidR="00AD2DC7" w:rsidRPr="00495AC3" w:rsidRDefault="00AD2DC7" w:rsidP="00495AC3">
      <w:pPr>
        <w:spacing w:line="360" w:lineRule="auto"/>
        <w:jc w:val="both"/>
        <w:rPr>
          <w:rFonts w:asciiTheme="minorHAnsi" w:hAnsiTheme="minorHAnsi" w:cstheme="minorHAnsi"/>
          <w:lang w:val="en-US"/>
        </w:rPr>
      </w:pPr>
    </w:p>
    <w:p w14:paraId="73F35B58"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ABSTRACT</w:t>
      </w:r>
    </w:p>
    <w:p w14:paraId="5A0429AA"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The EVALI (E-cigarette or Vaping product use-Associated Lung Injury) epidemic of 2019 was a major public health challenge, attracting the attention of both the scientific community and the public. In a short period of time, thousands of cases of acute lung injuries and deaths were reported among e-cigarette users, previously unrelated to the risk, shedding new light on the safety of these devices and exposing gaps in the regulations regarding their use.</w:t>
      </w:r>
    </w:p>
    <w:p w14:paraId="6CBF51C5"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This paper aims to review the literature on the EVALI epidemic, with particular emphasis on epidemiology, identification of the etiological agent, clinical presentation and treatment. Based on the collected data, the authors also </w:t>
      </w:r>
      <w:proofErr w:type="spellStart"/>
      <w:r w:rsidRPr="00495AC3">
        <w:rPr>
          <w:rFonts w:asciiTheme="minorHAnsi" w:hAnsiTheme="minorHAnsi" w:cstheme="minorHAnsi"/>
          <w:lang w:val="en-US"/>
        </w:rPr>
        <w:t>analysed</w:t>
      </w:r>
      <w:proofErr w:type="spellEnd"/>
      <w:r w:rsidRPr="00495AC3">
        <w:rPr>
          <w:rFonts w:asciiTheme="minorHAnsi" w:hAnsiTheme="minorHAnsi" w:cstheme="minorHAnsi"/>
          <w:lang w:val="en-US"/>
        </w:rPr>
        <w:t xml:space="preserve"> the possibilities of preventing similar events in the future, emphasizing regulations, health education of patients and increasing physicians' awareness of EVALI.</w:t>
      </w:r>
    </w:p>
    <w:p w14:paraId="31D124E9" w14:textId="77777777" w:rsidR="00E113DE" w:rsidRPr="00495AC3" w:rsidRDefault="00E113DE" w:rsidP="00495AC3">
      <w:pPr>
        <w:spacing w:line="360" w:lineRule="auto"/>
        <w:jc w:val="both"/>
        <w:rPr>
          <w:rFonts w:asciiTheme="minorHAnsi" w:hAnsiTheme="minorHAnsi" w:cstheme="minorHAnsi"/>
          <w:lang w:val="en-US"/>
        </w:rPr>
      </w:pPr>
    </w:p>
    <w:p w14:paraId="02B0EBCE"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lastRenderedPageBreak/>
        <w:t>Material and methods of research</w:t>
      </w:r>
    </w:p>
    <w:p w14:paraId="5852ED44"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The review was based on articles obtained from PubMed, Google scholar and Scopus scientific data base in the years 1980-2024 using the following key words: EVALI, E-cigarette or vaping product use-associated lung injury, ENDS/ENNDS, e-cigarette, vitamin E acetate.</w:t>
      </w:r>
    </w:p>
    <w:p w14:paraId="5405B199" w14:textId="77777777" w:rsidR="00AD2DC7" w:rsidRDefault="00AD2DC7" w:rsidP="00495AC3">
      <w:pPr>
        <w:spacing w:line="360" w:lineRule="auto"/>
        <w:jc w:val="both"/>
        <w:rPr>
          <w:rFonts w:asciiTheme="minorHAnsi" w:hAnsiTheme="minorHAnsi" w:cstheme="minorHAnsi"/>
          <w:lang w:val="en-US"/>
        </w:rPr>
      </w:pPr>
    </w:p>
    <w:p w14:paraId="022460E7" w14:textId="77777777" w:rsidR="00AD2DC7" w:rsidRPr="00495AC3" w:rsidRDefault="00AD2DC7" w:rsidP="00495AC3">
      <w:pPr>
        <w:spacing w:line="360" w:lineRule="auto"/>
        <w:jc w:val="both"/>
        <w:rPr>
          <w:rFonts w:asciiTheme="minorHAnsi" w:hAnsiTheme="minorHAnsi" w:cstheme="minorHAnsi"/>
          <w:lang w:val="en-US"/>
        </w:rPr>
      </w:pPr>
    </w:p>
    <w:p w14:paraId="006522B9"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b/>
          <w:bCs/>
          <w:lang w:val="en-US"/>
        </w:rPr>
        <w:t xml:space="preserve">Keywords: </w:t>
      </w:r>
      <w:r w:rsidRPr="00495AC3">
        <w:rPr>
          <w:rFonts w:asciiTheme="minorHAnsi" w:hAnsiTheme="minorHAnsi" w:cstheme="minorHAnsi"/>
          <w:lang w:val="en-US"/>
        </w:rPr>
        <w:t>EVALI; E-cigarette or vaping product use-associated lung injury; ENDS/ENNDS; e-cigarette; vitamin E acetate.</w:t>
      </w:r>
    </w:p>
    <w:p w14:paraId="28CD97DF" w14:textId="77777777" w:rsidR="00AD2DC7" w:rsidRDefault="00AD2DC7" w:rsidP="00495AC3">
      <w:pPr>
        <w:spacing w:line="360" w:lineRule="auto"/>
        <w:jc w:val="both"/>
        <w:rPr>
          <w:rFonts w:asciiTheme="minorHAnsi" w:hAnsiTheme="minorHAnsi" w:cstheme="minorHAnsi"/>
          <w:lang w:val="en-US"/>
        </w:rPr>
      </w:pPr>
    </w:p>
    <w:p w14:paraId="4FD60F96" w14:textId="77777777" w:rsidR="00AD2DC7" w:rsidRDefault="00AD2DC7" w:rsidP="00495AC3">
      <w:pPr>
        <w:spacing w:line="360" w:lineRule="auto"/>
        <w:jc w:val="both"/>
        <w:rPr>
          <w:rFonts w:asciiTheme="minorHAnsi" w:hAnsiTheme="minorHAnsi" w:cstheme="minorHAnsi"/>
          <w:lang w:val="en-US"/>
        </w:rPr>
      </w:pPr>
    </w:p>
    <w:p w14:paraId="22296FE9" w14:textId="77777777" w:rsidR="00AD2DC7" w:rsidRPr="00495AC3" w:rsidRDefault="00AD2DC7" w:rsidP="00495AC3">
      <w:pPr>
        <w:spacing w:line="360" w:lineRule="auto"/>
        <w:jc w:val="both"/>
        <w:rPr>
          <w:rFonts w:asciiTheme="minorHAnsi" w:hAnsiTheme="minorHAnsi" w:cstheme="minorHAnsi"/>
          <w:b/>
          <w:bCs/>
          <w:lang w:val="en-US"/>
        </w:rPr>
      </w:pPr>
    </w:p>
    <w:p w14:paraId="42F1D598"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Introduction</w:t>
      </w:r>
    </w:p>
    <w:p w14:paraId="529BFF83"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Modern e-cigarettes are a relatively new invention on the market, the first reports of mass production of e-cigarettes come from 2004, as a result of cooperation between Chinese pharmacist Hon Lik and the Golden Dragon Holdings group, which resulted in the release of a product with the commercial name </w:t>
      </w:r>
      <w:proofErr w:type="spellStart"/>
      <w:r w:rsidRPr="00495AC3">
        <w:rPr>
          <w:rFonts w:asciiTheme="minorHAnsi" w:hAnsiTheme="minorHAnsi" w:cstheme="minorHAnsi"/>
          <w:lang w:val="en-US"/>
        </w:rPr>
        <w:t>Ruyan</w:t>
      </w:r>
      <w:proofErr w:type="spellEnd"/>
      <w:r w:rsidRPr="00495AC3">
        <w:rPr>
          <w:rFonts w:asciiTheme="minorHAnsi" w:hAnsiTheme="minorHAnsi" w:cstheme="minorHAnsi"/>
          <w:lang w:val="en-US"/>
        </w:rPr>
        <w:t>, granting them the world's first, market-relevant e-cigarette patent in 2007 [1][2].</w:t>
      </w:r>
    </w:p>
    <w:p w14:paraId="45A61DE8" w14:textId="3268C00B"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In just a few years, the idea of electronic cigarettes spread throughout the world and today it is a dynamically developing industry that constitutes significant competition for manufacturers of classic cigarettes.</w:t>
      </w:r>
    </w:p>
    <w:p w14:paraId="10D6148B"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According to the WHO, supporters and manufacturers of e-cigarettes have created the image of e-cigarettes as a healthier alternative to classic cigarettes, which is eagerly reached for by both current cigarette smokers and previously nicotine-free individuals [3][4].</w:t>
      </w:r>
    </w:p>
    <w:p w14:paraId="7FDEC201"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The main reasons for reaching for e-cigarettes include: the desire to stop smoking traditional cigarettes (especially based on the belief that they are less harmful than traditional cigarettes or less addictive), use by friends, the possibility of choosing a </w:t>
      </w:r>
      <w:proofErr w:type="spellStart"/>
      <w:r w:rsidRPr="00495AC3">
        <w:rPr>
          <w:rFonts w:asciiTheme="minorHAnsi" w:hAnsiTheme="minorHAnsi" w:cstheme="minorHAnsi"/>
          <w:lang w:val="en-US"/>
        </w:rPr>
        <w:t>flavour</w:t>
      </w:r>
      <w:proofErr w:type="spellEnd"/>
      <w:r w:rsidRPr="00495AC3">
        <w:rPr>
          <w:rFonts w:asciiTheme="minorHAnsi" w:hAnsiTheme="minorHAnsi" w:cstheme="minorHAnsi"/>
          <w:lang w:val="en-US"/>
        </w:rPr>
        <w:t xml:space="preserve">, and in some cases also their more </w:t>
      </w:r>
      <w:proofErr w:type="spellStart"/>
      <w:r w:rsidRPr="00495AC3">
        <w:rPr>
          <w:rFonts w:asciiTheme="minorHAnsi" w:hAnsiTheme="minorHAnsi" w:cstheme="minorHAnsi"/>
          <w:lang w:val="en-US"/>
        </w:rPr>
        <w:t>favourable</w:t>
      </w:r>
      <w:proofErr w:type="spellEnd"/>
      <w:r w:rsidRPr="00495AC3">
        <w:rPr>
          <w:rFonts w:asciiTheme="minorHAnsi" w:hAnsiTheme="minorHAnsi" w:cstheme="minorHAnsi"/>
          <w:lang w:val="en-US"/>
        </w:rPr>
        <w:t xml:space="preserve"> price compared to traditional cigarettes.</w:t>
      </w:r>
    </w:p>
    <w:p w14:paraId="1FC59255" w14:textId="77777777" w:rsidR="00495AC3" w:rsidRPr="00495AC3" w:rsidRDefault="00495AC3" w:rsidP="00495AC3">
      <w:pPr>
        <w:spacing w:line="360" w:lineRule="auto"/>
        <w:jc w:val="both"/>
        <w:rPr>
          <w:rFonts w:asciiTheme="minorHAnsi" w:hAnsiTheme="minorHAnsi" w:cstheme="minorHAnsi"/>
          <w:lang w:val="en-US"/>
        </w:rPr>
      </w:pPr>
    </w:p>
    <w:p w14:paraId="798B84FE"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In addition, in recent years, a significant increase in the concentration of nicotine in the cartridges used in e-cigarettes has been demonstrated, which increases the degree of addiction of new users, making it difficult to quit and increasing the population of e-cigarette smokers [5][6][7][8].</w:t>
      </w:r>
    </w:p>
    <w:p w14:paraId="7879F45D"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Due to the growing number of active e-cigarette smokers, the impact of their use on the user's health has begun to be looked at. And although many years of observation are needed for </w:t>
      </w:r>
      <w:r w:rsidRPr="00495AC3">
        <w:rPr>
          <w:rFonts w:asciiTheme="minorHAnsi" w:hAnsiTheme="minorHAnsi" w:cstheme="minorHAnsi"/>
          <w:lang w:val="en-US"/>
        </w:rPr>
        <w:lastRenderedPageBreak/>
        <w:t>a full assessment, it has already turned out that the use of e-cigarettes can generate symptoms of acute lung injury, which has been defined as E-cigarette or vaping product use-associated lung injury (EVALI) [9].</w:t>
      </w:r>
    </w:p>
    <w:p w14:paraId="79A089CB" w14:textId="77777777"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This syndrome, and in particular the most up-to-date data on its epidemiology, pathophysiology, clinical picture and treatment methods, will be the subject of this review.</w:t>
      </w:r>
    </w:p>
    <w:p w14:paraId="3D5E680A" w14:textId="77777777" w:rsidR="00AD2DC7" w:rsidRPr="00495AC3" w:rsidRDefault="00AD2DC7" w:rsidP="00AD2DC7">
      <w:pPr>
        <w:spacing w:line="360" w:lineRule="auto"/>
        <w:ind w:firstLine="708"/>
        <w:jc w:val="both"/>
        <w:rPr>
          <w:rFonts w:asciiTheme="minorHAnsi" w:hAnsiTheme="minorHAnsi" w:cstheme="minorHAnsi"/>
          <w:lang w:val="en-US"/>
        </w:rPr>
      </w:pPr>
    </w:p>
    <w:p w14:paraId="1ED3343F"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EPIDEMIOLOGY</w:t>
      </w:r>
    </w:p>
    <w:p w14:paraId="27882656"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In early 2019, numerous reports of acute lung injury in e-cigarette smokers in the United States caught the attention of the Centers for Disease Control and Prevention. Due to the similar clinical picture and association with e-cigarettes, the disease entity of the epidemic nature was named E-cigarette or vaping product use-associated lung injury (EVALI). Data on patients were collected from all fifty states, the District of Columbia, and two US territories (Puerto Rico and the US Virgin Islands). </w:t>
      </w:r>
      <w:r w:rsidRPr="00495AC3">
        <w:rPr>
          <w:rFonts w:asciiTheme="minorHAnsi" w:hAnsiTheme="minorHAnsi" w:cstheme="minorHAnsi"/>
          <w:lang w:val="en-US"/>
        </w:rPr>
        <w:br/>
        <w:t>According to the CDC, during the year (as of February 18, 2020), the number of confirmed, hospitalized cases in the US was 2,807, of which 68 patients died. The median age of the deceased patients was 49.5 years. The largest age group of those hospitalized was young adults aged 18-24 (37% of all hospitalized patients) (Fig. 1). Of the patients hospitalized or died from EVALI, 66% were men.</w:t>
      </w:r>
    </w:p>
    <w:p w14:paraId="2D3375BA"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noProof/>
        </w:rPr>
        <w:drawing>
          <wp:inline distT="0" distB="0" distL="0" distR="0" wp14:anchorId="183BBBF8" wp14:editId="46A6E43F">
            <wp:extent cx="4181475" cy="2409825"/>
            <wp:effectExtent l="0" t="0" r="9525" b="9525"/>
            <wp:docPr id="34965223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383B29"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Figure 1 Age group distribution among CDC-confirmed EVALI cases</w:t>
      </w:r>
    </w:p>
    <w:p w14:paraId="31B614B0" w14:textId="77777777" w:rsidR="00AD2DC7" w:rsidRPr="00495AC3" w:rsidRDefault="00AD2DC7" w:rsidP="00495AC3">
      <w:pPr>
        <w:spacing w:line="360" w:lineRule="auto"/>
        <w:jc w:val="both"/>
        <w:rPr>
          <w:rFonts w:asciiTheme="minorHAnsi" w:hAnsiTheme="minorHAnsi" w:cstheme="minorHAnsi"/>
          <w:lang w:val="en-US"/>
        </w:rPr>
      </w:pPr>
    </w:p>
    <w:p w14:paraId="4A425E86"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As many as 2,022 of the hospitalized patients informed their physicians about the use of psychoactive substances, of which: (as of January 14, 2020) 82% reported vaping products containing THC, 33% reported only and exclusively vaping products containing THC, 57% </w:t>
      </w:r>
      <w:r w:rsidRPr="00495AC3">
        <w:rPr>
          <w:rFonts w:asciiTheme="minorHAnsi" w:hAnsiTheme="minorHAnsi" w:cstheme="minorHAnsi"/>
          <w:lang w:val="en-US"/>
        </w:rPr>
        <w:lastRenderedPageBreak/>
        <w:t>reported vaping products containing nicotine, and 14% reported only and exclusively vaping products containing nicotine (Fig. 2) [9].</w:t>
      </w:r>
    </w:p>
    <w:p w14:paraId="6F311138"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noProof/>
        </w:rPr>
        <w:drawing>
          <wp:inline distT="0" distB="0" distL="0" distR="0" wp14:anchorId="0B8F25D9" wp14:editId="0DABAAF6">
            <wp:extent cx="5760720" cy="3264326"/>
            <wp:effectExtent l="0" t="0" r="11430" b="12700"/>
            <wp:docPr id="13115129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6E89AE"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Figure 2 THC and nicotine products use in e-cigarettes among EVALI hospitalized patients.</w:t>
      </w:r>
    </w:p>
    <w:p w14:paraId="280AD5F7" w14:textId="77777777" w:rsidR="00AD2DC7" w:rsidRPr="00495AC3" w:rsidRDefault="00AD2DC7" w:rsidP="00495AC3">
      <w:pPr>
        <w:spacing w:line="360" w:lineRule="auto"/>
        <w:jc w:val="both"/>
        <w:rPr>
          <w:rFonts w:asciiTheme="minorHAnsi" w:hAnsiTheme="minorHAnsi" w:cstheme="minorHAnsi"/>
          <w:lang w:val="en-US"/>
        </w:rPr>
      </w:pPr>
    </w:p>
    <w:p w14:paraId="53A4A71C"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PATHOPHYSIOLOGY</w:t>
      </w:r>
    </w:p>
    <w:p w14:paraId="6EABC146"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Vitamin E acetate toxicity</w:t>
      </w:r>
    </w:p>
    <w:p w14:paraId="4E228E0B"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Information obtained from patients about using e-cigarettes in a manner inconsistent with their intended use – i.e. to heat products other than dedicated nicotine oils – seemed to be of key importance in explaining the pathophysiology of this syndrome from the very beginning of the EVALI epidemic.</w:t>
      </w:r>
    </w:p>
    <w:p w14:paraId="1EB02054"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It was established that preparations containing THC obtained on the illegal market and heated in the e-cigarettes of EVALI patients used vitamin E acetate (VEA) as a thickener [10].</w:t>
      </w:r>
    </w:p>
    <w:p w14:paraId="65D4F24E"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The suspicion of VEA as a probable trigger of EVALI was confirmed by performing bronchoalveolar lavage fluid (BALF) tests on patients. VEA was found in 48 of 51 (94%) patients with EVALI, while VEA was not present in healthy control patients [11].</w:t>
      </w:r>
    </w:p>
    <w:p w14:paraId="35609897"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b/>
          <w:bCs/>
          <w:lang w:val="en-US"/>
        </w:rPr>
        <w:t>Vitamin E</w:t>
      </w:r>
      <w:r w:rsidRPr="00495AC3">
        <w:rPr>
          <w:rFonts w:asciiTheme="minorHAnsi" w:hAnsiTheme="minorHAnsi" w:cstheme="minorHAnsi"/>
          <w:lang w:val="en-US"/>
        </w:rPr>
        <w:t xml:space="preserve"> is a group of fat-soluble compounds with antioxidant properties. Vitamin E occurs in two main forms: tocopherol and tocotrienol, each of which can occur in one of four forms: alpha- (</w:t>
      </w:r>
      <w:r w:rsidRPr="00495AC3">
        <w:rPr>
          <w:rFonts w:asciiTheme="minorHAnsi" w:hAnsiTheme="minorHAnsi" w:cstheme="minorHAnsi"/>
        </w:rPr>
        <w:t>α</w:t>
      </w:r>
      <w:r w:rsidRPr="00495AC3">
        <w:rPr>
          <w:rFonts w:asciiTheme="minorHAnsi" w:hAnsiTheme="minorHAnsi" w:cstheme="minorHAnsi"/>
          <w:lang w:val="en-US"/>
        </w:rPr>
        <w:t>-), beta (</w:t>
      </w:r>
      <w:r w:rsidRPr="00495AC3">
        <w:rPr>
          <w:rFonts w:asciiTheme="minorHAnsi" w:hAnsiTheme="minorHAnsi" w:cstheme="minorHAnsi"/>
        </w:rPr>
        <w:t>β</w:t>
      </w:r>
      <w:r w:rsidRPr="00495AC3">
        <w:rPr>
          <w:rFonts w:asciiTheme="minorHAnsi" w:hAnsiTheme="minorHAnsi" w:cstheme="minorHAnsi"/>
          <w:lang w:val="en-US"/>
        </w:rPr>
        <w:t>-), gamma (</w:t>
      </w:r>
      <w:r w:rsidRPr="00495AC3">
        <w:rPr>
          <w:rFonts w:asciiTheme="minorHAnsi" w:hAnsiTheme="minorHAnsi" w:cstheme="minorHAnsi"/>
        </w:rPr>
        <w:t>γ</w:t>
      </w:r>
      <w:r w:rsidRPr="00495AC3">
        <w:rPr>
          <w:rFonts w:asciiTheme="minorHAnsi" w:hAnsiTheme="minorHAnsi" w:cstheme="minorHAnsi"/>
          <w:lang w:val="en-US"/>
        </w:rPr>
        <w:t>-) and delta (</w:t>
      </w:r>
      <w:r w:rsidRPr="00495AC3">
        <w:rPr>
          <w:rFonts w:asciiTheme="minorHAnsi" w:hAnsiTheme="minorHAnsi" w:cstheme="minorHAnsi"/>
        </w:rPr>
        <w:t>δ</w:t>
      </w:r>
      <w:r w:rsidRPr="00495AC3">
        <w:rPr>
          <w:rFonts w:asciiTheme="minorHAnsi" w:hAnsiTheme="minorHAnsi" w:cstheme="minorHAnsi"/>
          <w:lang w:val="en-US"/>
        </w:rPr>
        <w:t>-) [12].</w:t>
      </w:r>
    </w:p>
    <w:p w14:paraId="55CAB52B"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Only alpha-tocopherol (Fig. 3) of all forms is selectively used in the human body, due to the presence of alpha-tocopherol transfer protein (alpha-TTP), and the remaining forms of vitamin E are removed from the circulation [13].</w:t>
      </w:r>
    </w:p>
    <w:p w14:paraId="5C950411"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lastRenderedPageBreak/>
        <w:t>Vitamin E is commonly found in the diet, with its natural source being vegetable oils, and its deficiencies are rare [14].</w:t>
      </w:r>
    </w:p>
    <w:p w14:paraId="5BC9EB06"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A synthetic form of vitamin E, often used on an industrial scale in dermatological products or dietary supplements, is a combination of alpha-tocopherol with an acetate ester – vitamin E acetate (VEA) [15] (Fig. 4).</w:t>
      </w:r>
    </w:p>
    <w:p w14:paraId="6C4A1FC4"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noProof/>
        </w:rPr>
        <w:drawing>
          <wp:inline distT="0" distB="0" distL="0" distR="0" wp14:anchorId="0DCA4A87" wp14:editId="2499E87F">
            <wp:extent cx="5760720" cy="1988820"/>
            <wp:effectExtent l="0" t="0" r="0" b="0"/>
            <wp:docPr id="61657305" name="Obraz 1" descr="Obraz zawierający diagram, linia, szkic&#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7305" name="Obraz 1" descr="Obraz zawierający diagram, linia, szkic&#10;&#10;Opis wygenerowany automatyczni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1988820"/>
                    </a:xfrm>
                    <a:prstGeom prst="rect">
                      <a:avLst/>
                    </a:prstGeom>
                    <a:noFill/>
                    <a:ln>
                      <a:noFill/>
                    </a:ln>
                  </pic:spPr>
                </pic:pic>
              </a:graphicData>
            </a:graphic>
          </wp:inline>
        </w:drawing>
      </w:r>
    </w:p>
    <w:p w14:paraId="72B19331"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Figure 3 Alpha-tocopherol – the form of vitamin E with the greatest biological utility</w:t>
      </w:r>
    </w:p>
    <w:p w14:paraId="2168BBB5" w14:textId="77777777" w:rsidR="00495AC3" w:rsidRPr="00495AC3" w:rsidRDefault="00495AC3" w:rsidP="00495AC3">
      <w:pPr>
        <w:spacing w:line="360" w:lineRule="auto"/>
        <w:jc w:val="both"/>
        <w:rPr>
          <w:rFonts w:asciiTheme="minorHAnsi" w:hAnsiTheme="minorHAnsi" w:cstheme="minorHAnsi"/>
          <w:lang w:val="en-US"/>
        </w:rPr>
      </w:pPr>
    </w:p>
    <w:p w14:paraId="49F5E0CD"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noProof/>
        </w:rPr>
        <w:drawing>
          <wp:inline distT="0" distB="0" distL="0" distR="0" wp14:anchorId="3F79269B" wp14:editId="25CAD350">
            <wp:extent cx="5758815" cy="1621790"/>
            <wp:effectExtent l="0" t="0" r="0" b="0"/>
            <wp:docPr id="437813245" name="Obraz 3" descr="Obraz zawierający diagram, lini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13245" name="Obraz 3" descr="Obraz zawierający diagram, linia, biały&#10;&#10;Opis wygenerowany automatyczni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8815" cy="1621790"/>
                    </a:xfrm>
                    <a:prstGeom prst="rect">
                      <a:avLst/>
                    </a:prstGeom>
                    <a:noFill/>
                    <a:ln>
                      <a:noFill/>
                    </a:ln>
                  </pic:spPr>
                </pic:pic>
              </a:graphicData>
            </a:graphic>
          </wp:inline>
        </w:drawing>
      </w:r>
    </w:p>
    <w:p w14:paraId="78BDEE56"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Figure 4 Vitamin E acetate (VEA) – used as a diluent in THC preparations</w:t>
      </w:r>
    </w:p>
    <w:p w14:paraId="25CB84D2" w14:textId="77777777" w:rsidR="00AD2DC7" w:rsidRPr="00495AC3" w:rsidRDefault="00AD2DC7" w:rsidP="00495AC3">
      <w:pPr>
        <w:spacing w:line="360" w:lineRule="auto"/>
        <w:jc w:val="both"/>
        <w:rPr>
          <w:rFonts w:asciiTheme="minorHAnsi" w:hAnsiTheme="minorHAnsi" w:cstheme="minorHAnsi"/>
          <w:lang w:val="en-US"/>
        </w:rPr>
      </w:pPr>
    </w:p>
    <w:p w14:paraId="296D5F97"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As mentioned, VEA was also used as a diluent in illegal preparations containing THC. Heating these preparations in e-cigarettes led to the appearance of VEA in the gas mixture inhaled during vaping.</w:t>
      </w:r>
    </w:p>
    <w:p w14:paraId="63F8F18E"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VEA, as a strongly lipophilic substance, can interact with phospholipid bilayers, including the surfactant lining the epithelium of the lung alveoli, leading to its destabilization [16][17]. In addition, macrophages accumulate in the lung alveoli, which are unable to metabolize the absorbed VEA, and thus the lung alveoli are not properly cleared. This situation leads to dysfunction in the lung alveoli, causing inflammation in the lungs referred to as </w:t>
      </w:r>
      <w:r w:rsidRPr="00495AC3">
        <w:rPr>
          <w:rFonts w:asciiTheme="minorHAnsi" w:hAnsiTheme="minorHAnsi" w:cstheme="minorHAnsi"/>
          <w:i/>
          <w:iCs/>
          <w:lang w:val="en-US"/>
        </w:rPr>
        <w:t>lipoid pneumonia</w:t>
      </w:r>
      <w:r w:rsidRPr="00495AC3">
        <w:rPr>
          <w:rFonts w:asciiTheme="minorHAnsi" w:hAnsiTheme="minorHAnsi" w:cstheme="minorHAnsi"/>
          <w:lang w:val="en-US"/>
        </w:rPr>
        <w:t xml:space="preserve"> [18].</w:t>
      </w:r>
    </w:p>
    <w:p w14:paraId="6057BC49"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lastRenderedPageBreak/>
        <w:t>Initially, this mechanism was indicated as the main basis of EVALI, confirmed by the presence of both lipid-loaded macrophages and VEA in the BALF of sick patients.</w:t>
      </w:r>
    </w:p>
    <w:p w14:paraId="20DF2559"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It should be mentioned, however, that despite the strong correlation, there is a lack of sufficient studies clearly indicating </w:t>
      </w:r>
      <w:r w:rsidRPr="00495AC3">
        <w:rPr>
          <w:rFonts w:asciiTheme="minorHAnsi" w:hAnsiTheme="minorHAnsi" w:cstheme="minorHAnsi"/>
          <w:i/>
          <w:iCs/>
          <w:lang w:val="en-US"/>
        </w:rPr>
        <w:t>lipoid pneumonia</w:t>
      </w:r>
      <w:r w:rsidRPr="00495AC3">
        <w:rPr>
          <w:rFonts w:asciiTheme="minorHAnsi" w:hAnsiTheme="minorHAnsi" w:cstheme="minorHAnsi"/>
          <w:lang w:val="en-US"/>
        </w:rPr>
        <w:t xml:space="preserve"> as the basis of EVALI. Butt et al (2019) in their letter indicate that the occurrence of </w:t>
      </w:r>
      <w:r w:rsidRPr="00495AC3">
        <w:rPr>
          <w:rFonts w:asciiTheme="minorHAnsi" w:hAnsiTheme="minorHAnsi" w:cstheme="minorHAnsi"/>
          <w:i/>
          <w:iCs/>
          <w:lang w:val="en-US"/>
        </w:rPr>
        <w:t>lipoid pneumonia</w:t>
      </w:r>
      <w:r w:rsidRPr="00495AC3">
        <w:rPr>
          <w:rFonts w:asciiTheme="minorHAnsi" w:hAnsiTheme="minorHAnsi" w:cstheme="minorHAnsi"/>
          <w:lang w:val="en-US"/>
        </w:rPr>
        <w:t xml:space="preserve"> features such as lipid-laden macrophages may be a marker of exposure to products heated in e-cigarettes rather than a marker of toxicity, especially since the radiological image of the lungs of patients with EVALI does not always show typical features of </w:t>
      </w:r>
      <w:r w:rsidRPr="00495AC3">
        <w:rPr>
          <w:rFonts w:asciiTheme="minorHAnsi" w:hAnsiTheme="minorHAnsi" w:cstheme="minorHAnsi"/>
          <w:i/>
          <w:iCs/>
          <w:lang w:val="en-US"/>
        </w:rPr>
        <w:t>lipoid pneumonia</w:t>
      </w:r>
      <w:r w:rsidRPr="00495AC3">
        <w:rPr>
          <w:rFonts w:asciiTheme="minorHAnsi" w:hAnsiTheme="minorHAnsi" w:cstheme="minorHAnsi"/>
          <w:lang w:val="en-US"/>
        </w:rPr>
        <w:t xml:space="preserve">. It is currently known that EVALI can occur in many forms of lung damage, among which, in addition to </w:t>
      </w:r>
      <w:r w:rsidRPr="00495AC3">
        <w:rPr>
          <w:rFonts w:asciiTheme="minorHAnsi" w:hAnsiTheme="minorHAnsi" w:cstheme="minorHAnsi"/>
          <w:i/>
          <w:iCs/>
          <w:lang w:val="en-US"/>
        </w:rPr>
        <w:t>lipoid pneumonia</w:t>
      </w:r>
      <w:r w:rsidRPr="00495AC3">
        <w:rPr>
          <w:rFonts w:asciiTheme="minorHAnsi" w:hAnsiTheme="minorHAnsi" w:cstheme="minorHAnsi"/>
          <w:lang w:val="en-US"/>
        </w:rPr>
        <w:t xml:space="preserve">, </w:t>
      </w:r>
      <w:r w:rsidRPr="00495AC3">
        <w:rPr>
          <w:rFonts w:asciiTheme="minorHAnsi" w:hAnsiTheme="minorHAnsi" w:cstheme="minorHAnsi"/>
          <w:i/>
          <w:iCs/>
          <w:lang w:val="en-US"/>
        </w:rPr>
        <w:t xml:space="preserve">acute eosinophilic pneumonia </w:t>
      </w:r>
      <w:r w:rsidRPr="00495AC3">
        <w:rPr>
          <w:rFonts w:asciiTheme="minorHAnsi" w:hAnsiTheme="minorHAnsi" w:cstheme="minorHAnsi"/>
          <w:lang w:val="en-US"/>
        </w:rPr>
        <w:t xml:space="preserve">and </w:t>
      </w:r>
      <w:r w:rsidRPr="00495AC3">
        <w:rPr>
          <w:rFonts w:asciiTheme="minorHAnsi" w:hAnsiTheme="minorHAnsi" w:cstheme="minorHAnsi"/>
          <w:i/>
          <w:iCs/>
          <w:lang w:val="en-US"/>
        </w:rPr>
        <w:t>respiratory-bronchiolitis interstitial lung disease</w:t>
      </w:r>
      <w:r w:rsidRPr="00495AC3">
        <w:rPr>
          <w:rFonts w:asciiTheme="minorHAnsi" w:hAnsiTheme="minorHAnsi" w:cstheme="minorHAnsi"/>
          <w:lang w:val="en-US"/>
        </w:rPr>
        <w:t xml:space="preserve"> are mentioned [19][20].</w:t>
      </w:r>
    </w:p>
    <w:p w14:paraId="2BA87F3B"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Several other possible mechanisms of EVALI have been postulated:</w:t>
      </w:r>
    </w:p>
    <w:p w14:paraId="7A25C13D"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Direct toxic effects of ketones</w:t>
      </w:r>
    </w:p>
    <w:p w14:paraId="157333F4"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It has been shown that the conditions in e-cigarettes during VEA heating can initiate the reaction of ketone formation, which has toxic properties and leads to direct irritation of the user's lungs [21].</w:t>
      </w:r>
    </w:p>
    <w:p w14:paraId="7F9CD59A"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Impaired immune response</w:t>
      </w:r>
    </w:p>
    <w:p w14:paraId="3EBB7D77"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As shown by the epidemiological data presented in this paper, some patients (14%) reported vaping only nicotine-containing products (Fig. 2), in which the use of VEA as a solvent is much less common than in products containing THC.</w:t>
      </w:r>
    </w:p>
    <w:p w14:paraId="39C9161F" w14:textId="77777777"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Nicotine in these products is usually diluted in </w:t>
      </w:r>
      <w:r w:rsidRPr="00495AC3">
        <w:rPr>
          <w:rFonts w:asciiTheme="minorHAnsi" w:hAnsiTheme="minorHAnsi" w:cstheme="minorHAnsi"/>
          <w:b/>
          <w:bCs/>
          <w:lang w:val="en-US"/>
        </w:rPr>
        <w:t>propylene glycol</w:t>
      </w:r>
      <w:r w:rsidRPr="00495AC3">
        <w:rPr>
          <w:rFonts w:asciiTheme="minorHAnsi" w:hAnsiTheme="minorHAnsi" w:cstheme="minorHAnsi"/>
          <w:lang w:val="en-US"/>
        </w:rPr>
        <w:t xml:space="preserve"> </w:t>
      </w:r>
      <w:r w:rsidRPr="00495AC3">
        <w:rPr>
          <w:rFonts w:asciiTheme="minorHAnsi" w:hAnsiTheme="minorHAnsi" w:cstheme="minorHAnsi"/>
          <w:b/>
          <w:bCs/>
          <w:lang w:val="en-US"/>
        </w:rPr>
        <w:t>(PG)</w:t>
      </w:r>
      <w:r w:rsidRPr="00495AC3">
        <w:rPr>
          <w:rFonts w:asciiTheme="minorHAnsi" w:hAnsiTheme="minorHAnsi" w:cstheme="minorHAnsi"/>
          <w:lang w:val="en-US"/>
        </w:rPr>
        <w:t xml:space="preserve"> or </w:t>
      </w:r>
      <w:r w:rsidRPr="00495AC3">
        <w:rPr>
          <w:rFonts w:asciiTheme="minorHAnsi" w:hAnsiTheme="minorHAnsi" w:cstheme="minorHAnsi"/>
          <w:b/>
          <w:bCs/>
          <w:lang w:val="en-US"/>
        </w:rPr>
        <w:t>vegetable glycerol (VG)</w:t>
      </w:r>
      <w:r w:rsidRPr="00495AC3">
        <w:rPr>
          <w:rFonts w:asciiTheme="minorHAnsi" w:hAnsiTheme="minorHAnsi" w:cstheme="minorHAnsi"/>
          <w:lang w:val="en-US"/>
        </w:rPr>
        <w:t xml:space="preserve">. It has been shown that prolonged inhalation of PG or VG </w:t>
      </w:r>
      <w:proofErr w:type="spellStart"/>
      <w:r w:rsidRPr="00495AC3">
        <w:rPr>
          <w:rFonts w:asciiTheme="minorHAnsi" w:hAnsiTheme="minorHAnsi" w:cstheme="minorHAnsi"/>
          <w:lang w:val="en-US"/>
        </w:rPr>
        <w:t>vapours</w:t>
      </w:r>
      <w:proofErr w:type="spellEnd"/>
      <w:r w:rsidRPr="00495AC3">
        <w:rPr>
          <w:rFonts w:asciiTheme="minorHAnsi" w:hAnsiTheme="minorHAnsi" w:cstheme="minorHAnsi"/>
          <w:lang w:val="en-US"/>
        </w:rPr>
        <w:t xml:space="preserve"> by mice leads to an impairment of their immune response in the lungs, by the mechanism of stimulating necrosis and weakening the antimicrobial activity of both alveolar macrophages and neutrophiles. In addition, mice exposed to PG or VG </w:t>
      </w:r>
      <w:proofErr w:type="spellStart"/>
      <w:r w:rsidRPr="00495AC3">
        <w:rPr>
          <w:rFonts w:asciiTheme="minorHAnsi" w:hAnsiTheme="minorHAnsi" w:cstheme="minorHAnsi"/>
          <w:lang w:val="en-US"/>
        </w:rPr>
        <w:t>vapours</w:t>
      </w:r>
      <w:proofErr w:type="spellEnd"/>
      <w:r w:rsidRPr="00495AC3">
        <w:rPr>
          <w:rFonts w:asciiTheme="minorHAnsi" w:hAnsiTheme="minorHAnsi" w:cstheme="minorHAnsi"/>
          <w:lang w:val="en-US"/>
        </w:rPr>
        <w:t xml:space="preserve"> have been shown to increase the virulence of </w:t>
      </w:r>
      <w:proofErr w:type="spellStart"/>
      <w:r w:rsidRPr="00495AC3">
        <w:rPr>
          <w:rFonts w:asciiTheme="minorHAnsi" w:hAnsiTheme="minorHAnsi" w:cstheme="minorHAnsi"/>
          <w:i/>
          <w:iCs/>
          <w:lang w:val="en-US"/>
        </w:rPr>
        <w:t>Staphyloccus</w:t>
      </w:r>
      <w:proofErr w:type="spellEnd"/>
      <w:r w:rsidRPr="00495AC3">
        <w:rPr>
          <w:rFonts w:asciiTheme="minorHAnsi" w:hAnsiTheme="minorHAnsi" w:cstheme="minorHAnsi"/>
          <w:i/>
          <w:iCs/>
          <w:lang w:val="en-US"/>
        </w:rPr>
        <w:t xml:space="preserve"> aureus </w:t>
      </w:r>
      <w:r w:rsidRPr="00495AC3">
        <w:rPr>
          <w:rFonts w:asciiTheme="minorHAnsi" w:hAnsiTheme="minorHAnsi" w:cstheme="minorHAnsi"/>
          <w:lang w:val="en-US"/>
        </w:rPr>
        <w:t>in the lungs [22]. In a mouse model, inhalation of PG or VG has also been shown to lead to a delayed response to influenza A virus infection [23]. Therefore, e-cigarette users who develop lower respiratory tract infections may experience significant lung damage through increased tissue damage due to a delayed or attenuated immune response, but studies in a human model are required.</w:t>
      </w:r>
    </w:p>
    <w:p w14:paraId="6F922A4D" w14:textId="77777777" w:rsidR="00E113DE" w:rsidRDefault="00E113DE" w:rsidP="00AD2DC7">
      <w:pPr>
        <w:spacing w:line="360" w:lineRule="auto"/>
        <w:ind w:firstLine="708"/>
        <w:jc w:val="both"/>
        <w:rPr>
          <w:rFonts w:asciiTheme="minorHAnsi" w:hAnsiTheme="minorHAnsi" w:cstheme="minorHAnsi"/>
          <w:lang w:val="en-US"/>
        </w:rPr>
      </w:pPr>
    </w:p>
    <w:p w14:paraId="6B95C1B0" w14:textId="77777777" w:rsidR="00E113DE" w:rsidRDefault="00E113DE" w:rsidP="00AD2DC7">
      <w:pPr>
        <w:spacing w:line="360" w:lineRule="auto"/>
        <w:ind w:firstLine="708"/>
        <w:jc w:val="both"/>
        <w:rPr>
          <w:rFonts w:asciiTheme="minorHAnsi" w:hAnsiTheme="minorHAnsi" w:cstheme="minorHAnsi"/>
          <w:lang w:val="en-US"/>
        </w:rPr>
      </w:pPr>
    </w:p>
    <w:p w14:paraId="55365C54" w14:textId="77777777" w:rsidR="00E113DE" w:rsidRDefault="00E113DE" w:rsidP="00AD2DC7">
      <w:pPr>
        <w:spacing w:line="360" w:lineRule="auto"/>
        <w:ind w:firstLine="708"/>
        <w:jc w:val="both"/>
        <w:rPr>
          <w:rFonts w:asciiTheme="minorHAnsi" w:hAnsiTheme="minorHAnsi" w:cstheme="minorHAnsi"/>
          <w:lang w:val="en-US"/>
        </w:rPr>
      </w:pPr>
    </w:p>
    <w:p w14:paraId="0F35704E" w14:textId="77777777" w:rsidR="00AD2DC7" w:rsidRPr="00495AC3" w:rsidRDefault="00AD2DC7" w:rsidP="00AD2DC7">
      <w:pPr>
        <w:spacing w:line="360" w:lineRule="auto"/>
        <w:ind w:firstLine="708"/>
        <w:jc w:val="both"/>
        <w:rPr>
          <w:rFonts w:asciiTheme="minorHAnsi" w:hAnsiTheme="minorHAnsi" w:cstheme="minorHAnsi"/>
          <w:lang w:val="en-US"/>
        </w:rPr>
      </w:pPr>
    </w:p>
    <w:p w14:paraId="72627F92"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lastRenderedPageBreak/>
        <w:t>CLINICAL PRESENTATION AND DIAGNOSTICS</w:t>
      </w:r>
    </w:p>
    <w:p w14:paraId="47C4FBD9"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Symptoms</w:t>
      </w:r>
    </w:p>
    <w:p w14:paraId="6AFE9EC1" w14:textId="77777777" w:rsidR="00495AC3" w:rsidRPr="00495AC3" w:rsidRDefault="00495AC3" w:rsidP="00AD2DC7">
      <w:pPr>
        <w:spacing w:line="360" w:lineRule="auto"/>
        <w:ind w:firstLine="404"/>
        <w:jc w:val="both"/>
        <w:rPr>
          <w:rFonts w:asciiTheme="minorHAnsi" w:hAnsiTheme="minorHAnsi" w:cstheme="minorHAnsi"/>
          <w:lang w:val="en-US"/>
        </w:rPr>
      </w:pPr>
      <w:r w:rsidRPr="00495AC3">
        <w:rPr>
          <w:rFonts w:asciiTheme="minorHAnsi" w:hAnsiTheme="minorHAnsi" w:cstheme="minorHAnsi"/>
          <w:lang w:val="en-US"/>
        </w:rPr>
        <w:t>Patients present with many nonspecific flu-like symptoms, which makes EVALI diagnosis exceptionally difficult. Based on the interview of 339 EVALI patients, the following symptoms were demonstrated:</w:t>
      </w:r>
    </w:p>
    <w:p w14:paraId="451D33AC" w14:textId="77777777" w:rsidR="00495AC3" w:rsidRPr="00495AC3" w:rsidRDefault="00495AC3" w:rsidP="00495AC3">
      <w:pPr>
        <w:pStyle w:val="Akapitzlist"/>
        <w:numPr>
          <w:ilvl w:val="0"/>
          <w:numId w:val="55"/>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Respiratory symptoms (cough, chest pain, shortness of breath) – frequency of occurrence 95%</w:t>
      </w:r>
    </w:p>
    <w:p w14:paraId="0C5413FF" w14:textId="77777777" w:rsidR="00495AC3" w:rsidRPr="00495AC3" w:rsidRDefault="00495AC3" w:rsidP="00495AC3">
      <w:pPr>
        <w:pStyle w:val="Akapitzlist"/>
        <w:numPr>
          <w:ilvl w:val="0"/>
          <w:numId w:val="55"/>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Gastrointestinal symptoms (abdominal pain, nausea and vomiting, diarrhea) – frequency of occurrence 77%</w:t>
      </w:r>
    </w:p>
    <w:p w14:paraId="108FCE32" w14:textId="77777777" w:rsidR="00495AC3" w:rsidRPr="00495AC3" w:rsidRDefault="00495AC3" w:rsidP="00495AC3">
      <w:pPr>
        <w:pStyle w:val="Akapitzlist"/>
        <w:numPr>
          <w:ilvl w:val="0"/>
          <w:numId w:val="55"/>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General symptoms (fever, weight loss, chills) – frequency of occurrence 85%</w:t>
      </w:r>
    </w:p>
    <w:p w14:paraId="77E5FC3F" w14:textId="77777777" w:rsidR="00495AC3" w:rsidRDefault="00495AC3" w:rsidP="00AD2DC7">
      <w:pPr>
        <w:spacing w:line="360" w:lineRule="auto"/>
        <w:ind w:firstLine="404"/>
        <w:jc w:val="both"/>
        <w:rPr>
          <w:rFonts w:asciiTheme="minorHAnsi" w:hAnsiTheme="minorHAnsi" w:cstheme="minorHAnsi"/>
          <w:lang w:val="en-US"/>
        </w:rPr>
      </w:pPr>
      <w:r w:rsidRPr="00495AC3">
        <w:rPr>
          <w:rFonts w:asciiTheme="minorHAnsi" w:hAnsiTheme="minorHAnsi" w:cstheme="minorHAnsi"/>
          <w:lang w:val="en-US"/>
        </w:rPr>
        <w:t>According to the CDC, it is impossible to distinguish EVALI from influenza using only basic evaluation methods (signs and symptoms) [9][24].</w:t>
      </w:r>
    </w:p>
    <w:p w14:paraId="3424103F" w14:textId="77777777" w:rsidR="00AD2DC7" w:rsidRPr="00495AC3" w:rsidRDefault="00AD2DC7" w:rsidP="00AD2DC7">
      <w:pPr>
        <w:spacing w:line="360" w:lineRule="auto"/>
        <w:ind w:firstLine="404"/>
        <w:jc w:val="both"/>
        <w:rPr>
          <w:rFonts w:asciiTheme="minorHAnsi" w:hAnsiTheme="minorHAnsi" w:cstheme="minorHAnsi"/>
          <w:lang w:val="en-US"/>
        </w:rPr>
      </w:pPr>
    </w:p>
    <w:p w14:paraId="4D0B03E8"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Signs</w:t>
      </w:r>
    </w:p>
    <w:p w14:paraId="3AA1C142" w14:textId="3ECEC0BB"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Common findings in EVALI patients </w:t>
      </w:r>
      <w:r w:rsidR="00AD2DC7" w:rsidRPr="00495AC3">
        <w:rPr>
          <w:rFonts w:asciiTheme="minorHAnsi" w:hAnsiTheme="minorHAnsi" w:cstheme="minorHAnsi"/>
          <w:lang w:val="en-US"/>
        </w:rPr>
        <w:t>include</w:t>
      </w:r>
      <w:r w:rsidRPr="00495AC3">
        <w:rPr>
          <w:rFonts w:asciiTheme="minorHAnsi" w:hAnsiTheme="minorHAnsi" w:cstheme="minorHAnsi"/>
          <w:lang w:val="en-US"/>
        </w:rPr>
        <w:t xml:space="preserve"> tachycardia – 55% of cases, tachypnea – 45% of cases, saturation below 95% (without oxygen support, at rest) – 57% of cases. Auscultation of the patient, even in severe EVALI, does not indicate any characteristic changes. </w:t>
      </w:r>
    </w:p>
    <w:p w14:paraId="6A7FE2FB"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Laboratory test results also remain ambiguous. The following are observed: increased WBC, increased inflammatory markers (CRP, procalcitonin, erythrocyte sedimentation rate), increased liver transaminases, mild hyponatremia and hypokalemia [25][9]. As advised by the CDC, in each suspected EVALI, in addition to a thorough interview, a urine THC test should be performed, due to the probable etiology presented earlier [9].</w:t>
      </w:r>
    </w:p>
    <w:p w14:paraId="4733A780" w14:textId="1CC48BD8"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Since EVALI should be treated as a diagnosis of exclusion, it may be valuable – especially due to the significant similarity of the course to infectious diseases – to perform virological and bacteriological panels for microorganisms that may cause pneumonia [24]. Complete exclusion of other disease processes may require the use of invasive techniques – BALF examination and examination of a sample taken during lung biopsy [20].</w:t>
      </w:r>
    </w:p>
    <w:p w14:paraId="13BB266C" w14:textId="77777777" w:rsidR="00AD2DC7" w:rsidRPr="00495AC3" w:rsidRDefault="00AD2DC7" w:rsidP="00AD2DC7">
      <w:pPr>
        <w:spacing w:line="360" w:lineRule="auto"/>
        <w:ind w:firstLine="708"/>
        <w:jc w:val="both"/>
        <w:rPr>
          <w:rFonts w:asciiTheme="minorHAnsi" w:hAnsiTheme="minorHAnsi" w:cstheme="minorHAnsi"/>
          <w:lang w:val="en-US"/>
        </w:rPr>
      </w:pPr>
    </w:p>
    <w:p w14:paraId="23ADBE0E"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Imaging</w:t>
      </w:r>
    </w:p>
    <w:p w14:paraId="5B60EFC8"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It is recommended to perform a chest X-ray in all patients with a history of e-cigarette use who report respiratory or gastrointestinal symptoms, especially when dyspnea, chest pain or decreased saturation are present [9].</w:t>
      </w:r>
    </w:p>
    <w:p w14:paraId="30DBBD8C"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lastRenderedPageBreak/>
        <w:t>Chest X-rays were performed in 184 EVALI patients, which showed changes on chest X-ray in 155 of them (84%), as well as changes on CT scan in 168 of them (91%). Radiological findings were mostly nonspecific and included bilateral infiltrates, bilateral ground glass opacities, subpleural sparing, pleural effusions and centrilobular nodularity.</w:t>
      </w:r>
    </w:p>
    <w:p w14:paraId="7903814B" w14:textId="77777777"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However, in 45 of 184 (24%) radiologically examined patients, the lesions were characterized by a specific disease pattern - organizing pneumonia (5.2%), diffuse alveolar damage (3.0%), giant cell interstitial pneumonia (2.2%), hypersensitivity pneumonitis (2.2%) and organizing acute lung injury (2.2%). Pneumothorax was reported in eight (5.9%) patients and pneumomediastinum in four (3.0%) patients [26].</w:t>
      </w:r>
    </w:p>
    <w:p w14:paraId="41C3A132" w14:textId="77777777" w:rsidR="00AD2DC7" w:rsidRPr="00495AC3" w:rsidRDefault="00AD2DC7" w:rsidP="00AD2DC7">
      <w:pPr>
        <w:spacing w:line="360" w:lineRule="auto"/>
        <w:ind w:firstLine="708"/>
        <w:jc w:val="both"/>
        <w:rPr>
          <w:rFonts w:asciiTheme="minorHAnsi" w:hAnsiTheme="minorHAnsi" w:cstheme="minorHAnsi"/>
          <w:lang w:val="en-US"/>
        </w:rPr>
      </w:pPr>
    </w:p>
    <w:p w14:paraId="1684077F"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Treatment</w:t>
      </w:r>
    </w:p>
    <w:p w14:paraId="6220402B"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Depending on the severity of EVALI, different procedures are recommended.</w:t>
      </w:r>
    </w:p>
    <w:p w14:paraId="0A4A91D5"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Patients with a typical history, i.e.: respiratory, gastrointestinal and general symptoms, as well as a history of recent e-cigarette use, may be treated on an outpatient basis, under several conditions:</w:t>
      </w:r>
    </w:p>
    <w:p w14:paraId="69C9548B" w14:textId="77777777" w:rsidR="00495AC3" w:rsidRPr="00495AC3" w:rsidRDefault="00495AC3" w:rsidP="00495AC3">
      <w:pPr>
        <w:pStyle w:val="Akapitzlist"/>
        <w:numPr>
          <w:ilvl w:val="0"/>
          <w:numId w:val="56"/>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Normal saturation (≥95% without oxygen support, at rest)</w:t>
      </w:r>
    </w:p>
    <w:p w14:paraId="6BBD533A" w14:textId="77777777" w:rsidR="00495AC3" w:rsidRPr="00495AC3" w:rsidRDefault="00495AC3" w:rsidP="00495AC3">
      <w:pPr>
        <w:pStyle w:val="Akapitzlist"/>
        <w:numPr>
          <w:ilvl w:val="0"/>
          <w:numId w:val="56"/>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No respiratory failure or diseases predisposing to it</w:t>
      </w:r>
    </w:p>
    <w:p w14:paraId="592EC624" w14:textId="77777777" w:rsidR="00495AC3" w:rsidRPr="00495AC3" w:rsidRDefault="00495AC3" w:rsidP="00495AC3">
      <w:pPr>
        <w:pStyle w:val="Akapitzlist"/>
        <w:numPr>
          <w:ilvl w:val="0"/>
          <w:numId w:val="56"/>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Easy access to health care and social support</w:t>
      </w:r>
    </w:p>
    <w:p w14:paraId="72742678" w14:textId="77777777" w:rsidR="00495AC3" w:rsidRPr="00495AC3" w:rsidRDefault="00495AC3" w:rsidP="00495AC3">
      <w:pPr>
        <w:pStyle w:val="Akapitzlist"/>
        <w:numPr>
          <w:ilvl w:val="0"/>
          <w:numId w:val="56"/>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Possibility of reporting for a check-up within 24-48 hours of the first visit</w:t>
      </w:r>
    </w:p>
    <w:p w14:paraId="6CF4D02A" w14:textId="77777777" w:rsidR="00495AC3" w:rsidRPr="00495AC3" w:rsidRDefault="00495AC3" w:rsidP="00AD2DC7">
      <w:pPr>
        <w:spacing w:line="360" w:lineRule="auto"/>
        <w:ind w:firstLine="360"/>
        <w:jc w:val="both"/>
        <w:rPr>
          <w:rFonts w:asciiTheme="minorHAnsi" w:hAnsiTheme="minorHAnsi" w:cstheme="minorHAnsi"/>
          <w:lang w:val="en-US"/>
        </w:rPr>
      </w:pPr>
      <w:r w:rsidRPr="00495AC3">
        <w:rPr>
          <w:rFonts w:asciiTheme="minorHAnsi" w:hAnsiTheme="minorHAnsi" w:cstheme="minorHAnsi"/>
          <w:lang w:val="en-US"/>
        </w:rPr>
        <w:t>All other patients, especially those with concomitant influenza, should be considered as candidates for hospitalization [9].</w:t>
      </w:r>
    </w:p>
    <w:p w14:paraId="06E2BDCB" w14:textId="77777777" w:rsidR="00495AC3" w:rsidRPr="00495AC3" w:rsidRDefault="00495AC3" w:rsidP="00AD2DC7">
      <w:pPr>
        <w:spacing w:line="360" w:lineRule="auto"/>
        <w:ind w:firstLine="360"/>
        <w:jc w:val="both"/>
        <w:rPr>
          <w:rFonts w:asciiTheme="minorHAnsi" w:hAnsiTheme="minorHAnsi" w:cstheme="minorHAnsi"/>
          <w:lang w:val="en-US"/>
        </w:rPr>
      </w:pPr>
      <w:r w:rsidRPr="00495AC3">
        <w:rPr>
          <w:rFonts w:asciiTheme="minorHAnsi" w:hAnsiTheme="minorHAnsi" w:cstheme="minorHAnsi"/>
          <w:lang w:val="en-US"/>
        </w:rPr>
        <w:t>All patients should always be encouraged to immediately stop using e-cigarettes [24].</w:t>
      </w:r>
    </w:p>
    <w:p w14:paraId="3BA15B19" w14:textId="3830A2E7" w:rsidR="00AD2DC7"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Despite the lack of official procedures, the most promising results are obtained with high doses of systemic </w:t>
      </w:r>
      <w:proofErr w:type="spellStart"/>
      <w:r w:rsidRPr="00495AC3">
        <w:rPr>
          <w:rFonts w:asciiTheme="minorHAnsi" w:hAnsiTheme="minorHAnsi" w:cstheme="minorHAnsi"/>
          <w:b/>
          <w:bCs/>
          <w:lang w:val="en-US"/>
        </w:rPr>
        <w:t>glucocorticosteroids</w:t>
      </w:r>
      <w:proofErr w:type="spellEnd"/>
      <w:r w:rsidRPr="00495AC3">
        <w:rPr>
          <w:rFonts w:asciiTheme="minorHAnsi" w:hAnsiTheme="minorHAnsi" w:cstheme="minorHAnsi"/>
          <w:lang w:val="en-US"/>
        </w:rPr>
        <w:t xml:space="preserve">. A case series of 5 EVALI patients showed improvement in all of them after the use of </w:t>
      </w:r>
      <w:proofErr w:type="spellStart"/>
      <w:r w:rsidRPr="00495AC3">
        <w:rPr>
          <w:rFonts w:asciiTheme="minorHAnsi" w:hAnsiTheme="minorHAnsi" w:cstheme="minorHAnsi"/>
          <w:lang w:val="en-US"/>
        </w:rPr>
        <w:t>methylprednisone</w:t>
      </w:r>
      <w:proofErr w:type="spellEnd"/>
      <w:r w:rsidRPr="00495AC3">
        <w:rPr>
          <w:rFonts w:asciiTheme="minorHAnsi" w:hAnsiTheme="minorHAnsi" w:cstheme="minorHAnsi"/>
          <w:lang w:val="en-US"/>
        </w:rPr>
        <w:t xml:space="preserve"> in doses of 120-500 mg intravenously, which was then continued with oral form of the drug [27]. </w:t>
      </w:r>
      <w:r w:rsidRPr="00495AC3">
        <w:rPr>
          <w:rFonts w:asciiTheme="minorHAnsi" w:hAnsiTheme="minorHAnsi" w:cstheme="minorHAnsi"/>
          <w:lang w:val="en-US"/>
        </w:rPr>
        <w:br/>
        <w:t xml:space="preserve">Another study of 60 patients with EVALI showed improvement in 48 of 57 (84%) patients who were given steroids in doses of 120-240 mg daily for 1-4 days and then switched to oral prednisone in doses of 40-60 mg [28]. </w:t>
      </w:r>
    </w:p>
    <w:p w14:paraId="301A0DB1"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Despite good response to corticosteroids, they should be used with caution in the case of concomitant respiratory infections. There are studies indicating the risk of increased mortality in patients treated with high doses of corticosteroids and concomitant infections, including COVID-19 [29], influenza [30] and in some fungal lung infections [31]. </w:t>
      </w:r>
    </w:p>
    <w:p w14:paraId="728C0E7F"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lastRenderedPageBreak/>
        <w:t xml:space="preserve">In addition to suppressing the inflammatory response with </w:t>
      </w:r>
      <w:proofErr w:type="spellStart"/>
      <w:r w:rsidRPr="00495AC3">
        <w:rPr>
          <w:rFonts w:asciiTheme="minorHAnsi" w:hAnsiTheme="minorHAnsi" w:cstheme="minorHAnsi"/>
          <w:lang w:val="en-US"/>
        </w:rPr>
        <w:t>glucocorticosteroids</w:t>
      </w:r>
      <w:proofErr w:type="spellEnd"/>
      <w:r w:rsidRPr="00495AC3">
        <w:rPr>
          <w:rFonts w:asciiTheme="minorHAnsi" w:hAnsiTheme="minorHAnsi" w:cstheme="minorHAnsi"/>
          <w:lang w:val="en-US"/>
        </w:rPr>
        <w:t xml:space="preserve">, it is also important to implement </w:t>
      </w:r>
      <w:r w:rsidRPr="00495AC3">
        <w:rPr>
          <w:rFonts w:asciiTheme="minorHAnsi" w:hAnsiTheme="minorHAnsi" w:cstheme="minorHAnsi"/>
          <w:b/>
          <w:bCs/>
          <w:lang w:val="en-US"/>
        </w:rPr>
        <w:t>antimicrobial therapy</w:t>
      </w:r>
      <w:r w:rsidRPr="00495AC3">
        <w:rPr>
          <w:rFonts w:asciiTheme="minorHAnsi" w:hAnsiTheme="minorHAnsi" w:cstheme="minorHAnsi"/>
          <w:lang w:val="en-US"/>
        </w:rPr>
        <w:t>, because, as mentioned earlier, EVALI may be associated with impaired response to infections. Most patients during the EVALI epidemic received ceftriaxone in combination with azithromycin, although this is not always the case, and antibiotic therapy in patients with EVALI should be in accordance with local antimicrobial treatment guidelines [32].</w:t>
      </w:r>
    </w:p>
    <w:p w14:paraId="02151E1E"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The CDC also recommends </w:t>
      </w:r>
      <w:r w:rsidRPr="00495AC3">
        <w:rPr>
          <w:rFonts w:asciiTheme="minorHAnsi" w:hAnsiTheme="minorHAnsi" w:cstheme="minorHAnsi"/>
          <w:b/>
          <w:bCs/>
          <w:lang w:val="en-US"/>
        </w:rPr>
        <w:t>oxygen therapy</w:t>
      </w:r>
      <w:r w:rsidRPr="00495AC3">
        <w:rPr>
          <w:rFonts w:asciiTheme="minorHAnsi" w:hAnsiTheme="minorHAnsi" w:cstheme="minorHAnsi"/>
          <w:lang w:val="en-US"/>
        </w:rPr>
        <w:t xml:space="preserve"> for all EVALI patients with oxygen saturation &lt;95% at rest [9].</w:t>
      </w:r>
    </w:p>
    <w:p w14:paraId="7F3121A9"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The first follow-up visit of patients should occur within 24-48 hours of diagnosis (in the case of outpatients) or discharge from the hospital (inpatients) and include an assessment of general condition, oxygen saturation, and a discussion with the patient about the risks associated with continued e-cigarette use.</w:t>
      </w:r>
    </w:p>
    <w:p w14:paraId="1AE55C84"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The second follow-up visit should take place within 1-2 weeks and include an assessment of oxygen saturation and, if necessary, a chest radiograph.</w:t>
      </w:r>
    </w:p>
    <w:p w14:paraId="6C1AF19E" w14:textId="77777777"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The last follow-up visit should take place within 1–2 months and include assessment of lung function (DLCO test) and repeat chest X-ray or CT scan if indicated [9].</w:t>
      </w:r>
    </w:p>
    <w:p w14:paraId="68A7EA7E" w14:textId="77777777" w:rsidR="00AD2DC7" w:rsidRPr="00495AC3" w:rsidRDefault="00AD2DC7" w:rsidP="00AD2DC7">
      <w:pPr>
        <w:spacing w:line="360" w:lineRule="auto"/>
        <w:ind w:firstLine="708"/>
        <w:jc w:val="both"/>
        <w:rPr>
          <w:rFonts w:asciiTheme="minorHAnsi" w:hAnsiTheme="minorHAnsi" w:cstheme="minorHAnsi"/>
          <w:lang w:val="en-US"/>
        </w:rPr>
      </w:pPr>
    </w:p>
    <w:p w14:paraId="60B4270B"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Prognosis</w:t>
      </w:r>
    </w:p>
    <w:p w14:paraId="7A4AB95E"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Although the course of EVALI may vary greatly across the patient population, the overall prognosis is good. It is important to remember that there is a possibility of a severe course of EVALI complicated by acute respiratory failure and death, even in young and disease-free individuals. </w:t>
      </w:r>
      <w:r w:rsidRPr="00495AC3">
        <w:rPr>
          <w:rFonts w:asciiTheme="minorHAnsi" w:hAnsiTheme="minorHAnsi" w:cstheme="minorHAnsi"/>
          <w:lang w:val="en-US"/>
        </w:rPr>
        <w:br/>
        <w:t>The latest statistics published by the CDC report 68 deaths out of 2,807 confirmed EVALI cases, which gives a mortality rate of approximately 2.42% [9].</w:t>
      </w:r>
    </w:p>
    <w:p w14:paraId="1FB64C54"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The average hospitalization time for EVALI patients is 6.7 days, and in the age group over 50 years of age it increases to over two weeks (14.8 days) [24].</w:t>
      </w:r>
    </w:p>
    <w:p w14:paraId="2F9AEBB0"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EVALI relapses are common – within 14 days of discharge from the hospital, the readmission rate reaches 50% in the case of continued use of e-cigarettes, which is why patient education is important. Cases of EVALI relapse have also been observed after </w:t>
      </w:r>
      <w:proofErr w:type="spellStart"/>
      <w:r w:rsidRPr="00495AC3">
        <w:rPr>
          <w:rFonts w:asciiTheme="minorHAnsi" w:hAnsiTheme="minorHAnsi" w:cstheme="minorHAnsi"/>
          <w:lang w:val="en-US"/>
        </w:rPr>
        <w:t>glucocorticosteroid</w:t>
      </w:r>
      <w:proofErr w:type="spellEnd"/>
      <w:r w:rsidRPr="00495AC3">
        <w:rPr>
          <w:rFonts w:asciiTheme="minorHAnsi" w:hAnsiTheme="minorHAnsi" w:cstheme="minorHAnsi"/>
          <w:lang w:val="en-US"/>
        </w:rPr>
        <w:t xml:space="preserve"> treatment during the tapering period [32].</w:t>
      </w:r>
    </w:p>
    <w:p w14:paraId="6550891D" w14:textId="77777777"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There are still no studies describing the long-term effects of EVALI, therefore it is important to monitor these patients after treatment.</w:t>
      </w:r>
    </w:p>
    <w:p w14:paraId="5833F9F4" w14:textId="77777777" w:rsidR="00AD2DC7" w:rsidRDefault="00AD2DC7" w:rsidP="00AD2DC7">
      <w:pPr>
        <w:spacing w:line="360" w:lineRule="auto"/>
        <w:ind w:firstLine="708"/>
        <w:jc w:val="both"/>
        <w:rPr>
          <w:rFonts w:asciiTheme="minorHAnsi" w:hAnsiTheme="minorHAnsi" w:cstheme="minorHAnsi"/>
          <w:lang w:val="en-US"/>
        </w:rPr>
      </w:pPr>
    </w:p>
    <w:p w14:paraId="6BC5705C" w14:textId="77777777" w:rsidR="00E113DE" w:rsidRPr="00495AC3" w:rsidRDefault="00E113DE" w:rsidP="00AD2DC7">
      <w:pPr>
        <w:spacing w:line="360" w:lineRule="auto"/>
        <w:ind w:firstLine="708"/>
        <w:jc w:val="both"/>
        <w:rPr>
          <w:rFonts w:asciiTheme="minorHAnsi" w:hAnsiTheme="minorHAnsi" w:cstheme="minorHAnsi"/>
          <w:lang w:val="en-US"/>
        </w:rPr>
      </w:pPr>
    </w:p>
    <w:p w14:paraId="5DA916FE"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lastRenderedPageBreak/>
        <w:t>Prevention</w:t>
      </w:r>
    </w:p>
    <w:p w14:paraId="3AE3F8F9" w14:textId="77777777" w:rsidR="00495AC3" w:rsidRPr="00495AC3" w:rsidRDefault="00495AC3" w:rsidP="00AD2DC7">
      <w:pPr>
        <w:spacing w:line="360" w:lineRule="auto"/>
        <w:ind w:firstLine="360"/>
        <w:jc w:val="both"/>
        <w:rPr>
          <w:rFonts w:asciiTheme="minorHAnsi" w:hAnsiTheme="minorHAnsi" w:cstheme="minorHAnsi"/>
          <w:lang w:val="en-US"/>
        </w:rPr>
      </w:pPr>
      <w:r w:rsidRPr="00495AC3">
        <w:rPr>
          <w:rFonts w:asciiTheme="minorHAnsi" w:hAnsiTheme="minorHAnsi" w:cstheme="minorHAnsi"/>
          <w:lang w:val="en-US"/>
        </w:rPr>
        <w:t>The goals indicated as important in terms of preventing the occurrence of a new EVALI epidemic or similar epidemiological incidents and limiting their potential effects include:</w:t>
      </w:r>
    </w:p>
    <w:p w14:paraId="56D3351C" w14:textId="77777777" w:rsidR="00495AC3" w:rsidRPr="00495AC3" w:rsidRDefault="00495AC3" w:rsidP="00495AC3">
      <w:pPr>
        <w:pStyle w:val="Akapitzlist"/>
        <w:numPr>
          <w:ilvl w:val="0"/>
          <w:numId w:val="57"/>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the need to increase EVALI awareness among doctors [32],</w:t>
      </w:r>
    </w:p>
    <w:p w14:paraId="7FA9460A" w14:textId="77777777" w:rsidR="00495AC3" w:rsidRPr="00495AC3" w:rsidRDefault="00495AC3" w:rsidP="00495AC3">
      <w:pPr>
        <w:pStyle w:val="Akapitzlist"/>
        <w:numPr>
          <w:ilvl w:val="0"/>
          <w:numId w:val="57"/>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asking patients about the use of e-cigarettes as a routine element of the interview among patients with respiratory symptoms [32],</w:t>
      </w:r>
    </w:p>
    <w:p w14:paraId="1BF0E9CB" w14:textId="77777777" w:rsidR="00495AC3" w:rsidRPr="00495AC3" w:rsidRDefault="00495AC3" w:rsidP="00495AC3">
      <w:pPr>
        <w:pStyle w:val="Akapitzlist"/>
        <w:numPr>
          <w:ilvl w:val="0"/>
          <w:numId w:val="57"/>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educating patients about the harmfulness of vaping, in particular cartridges of suspicious origin [10][24],</w:t>
      </w:r>
    </w:p>
    <w:p w14:paraId="0445C37A" w14:textId="77777777" w:rsidR="00495AC3" w:rsidRPr="00495AC3" w:rsidRDefault="00495AC3" w:rsidP="00495AC3">
      <w:pPr>
        <w:pStyle w:val="Akapitzlist"/>
        <w:numPr>
          <w:ilvl w:val="0"/>
          <w:numId w:val="57"/>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educating patients not to add any substances to previously purchased cartridges, even in small quantities [9]</w:t>
      </w:r>
    </w:p>
    <w:p w14:paraId="0368D1AD" w14:textId="77777777" w:rsidR="00495AC3" w:rsidRPr="00495AC3" w:rsidRDefault="00495AC3" w:rsidP="00495AC3">
      <w:pPr>
        <w:pStyle w:val="Akapitzlist"/>
        <w:numPr>
          <w:ilvl w:val="0"/>
          <w:numId w:val="57"/>
        </w:numPr>
        <w:spacing w:after="160" w:line="360" w:lineRule="auto"/>
        <w:jc w:val="both"/>
        <w:rPr>
          <w:rFonts w:asciiTheme="minorHAnsi" w:hAnsiTheme="minorHAnsi" w:cstheme="minorHAnsi"/>
          <w:sz w:val="24"/>
          <w:szCs w:val="24"/>
          <w:lang w:val="en-US"/>
        </w:rPr>
      </w:pPr>
      <w:r w:rsidRPr="00495AC3">
        <w:rPr>
          <w:rFonts w:asciiTheme="minorHAnsi" w:hAnsiTheme="minorHAnsi" w:cstheme="minorHAnsi"/>
          <w:sz w:val="24"/>
          <w:szCs w:val="24"/>
          <w:lang w:val="en-US"/>
        </w:rPr>
        <w:t xml:space="preserve">tightening the policy of conducting the sale of e-cigarettes by, among others, increasing the minimum purchase age from 18 to 21 in countries that have not yet done so, reducing the attractiveness of e-cigarettes by completely banning </w:t>
      </w:r>
      <w:proofErr w:type="spellStart"/>
      <w:r w:rsidRPr="00495AC3">
        <w:rPr>
          <w:rFonts w:asciiTheme="minorHAnsi" w:hAnsiTheme="minorHAnsi" w:cstheme="minorHAnsi"/>
          <w:sz w:val="24"/>
          <w:szCs w:val="24"/>
          <w:lang w:val="en-US"/>
        </w:rPr>
        <w:t>flavoured</w:t>
      </w:r>
      <w:proofErr w:type="spellEnd"/>
      <w:r w:rsidRPr="00495AC3">
        <w:rPr>
          <w:rFonts w:asciiTheme="minorHAnsi" w:hAnsiTheme="minorHAnsi" w:cstheme="minorHAnsi"/>
          <w:sz w:val="24"/>
          <w:szCs w:val="24"/>
          <w:lang w:val="en-US"/>
        </w:rPr>
        <w:t xml:space="preserve"> e-cigarette cartridges, restricting online sales, and taxing e-cigarette products to reduce youth initiation [33] </w:t>
      </w:r>
    </w:p>
    <w:p w14:paraId="67408FB8" w14:textId="1CA5095B" w:rsidR="00495AC3" w:rsidRDefault="00495AC3" w:rsidP="00AD2DC7">
      <w:pPr>
        <w:spacing w:line="360" w:lineRule="auto"/>
        <w:ind w:firstLine="360"/>
        <w:jc w:val="both"/>
        <w:rPr>
          <w:rFonts w:asciiTheme="minorHAnsi" w:hAnsiTheme="minorHAnsi" w:cstheme="minorHAnsi"/>
          <w:lang w:val="en-US"/>
        </w:rPr>
      </w:pPr>
      <w:r w:rsidRPr="00495AC3">
        <w:rPr>
          <w:rFonts w:asciiTheme="minorHAnsi" w:hAnsiTheme="minorHAnsi" w:cstheme="minorHAnsi"/>
          <w:lang w:val="en-US"/>
        </w:rPr>
        <w:t xml:space="preserve">However, the CDC cautions against encouraging patients to return to smoking classic cigarettes as a method of preventing EVALI. Instead, such patients should be </w:t>
      </w:r>
      <w:r w:rsidR="00AD2DC7" w:rsidRPr="00495AC3">
        <w:rPr>
          <w:rFonts w:asciiTheme="minorHAnsi" w:hAnsiTheme="minorHAnsi" w:cstheme="minorHAnsi"/>
          <w:lang w:val="en-US"/>
        </w:rPr>
        <w:t>helped</w:t>
      </w:r>
      <w:r w:rsidRPr="00495AC3">
        <w:rPr>
          <w:rFonts w:asciiTheme="minorHAnsi" w:hAnsiTheme="minorHAnsi" w:cstheme="minorHAnsi"/>
          <w:lang w:val="en-US"/>
        </w:rPr>
        <w:t xml:space="preserve"> in quitting completely using smoking addiction treatments [9].</w:t>
      </w:r>
    </w:p>
    <w:p w14:paraId="3AAE499F" w14:textId="77777777" w:rsidR="00AD2DC7" w:rsidRPr="00495AC3" w:rsidRDefault="00AD2DC7" w:rsidP="00AD2DC7">
      <w:pPr>
        <w:spacing w:line="360" w:lineRule="auto"/>
        <w:ind w:firstLine="360"/>
        <w:jc w:val="both"/>
        <w:rPr>
          <w:rFonts w:asciiTheme="minorHAnsi" w:hAnsiTheme="minorHAnsi" w:cstheme="minorHAnsi"/>
          <w:lang w:val="en-US"/>
        </w:rPr>
      </w:pPr>
    </w:p>
    <w:p w14:paraId="32D676B0"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Conclusions</w:t>
      </w:r>
    </w:p>
    <w:p w14:paraId="6894068A"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The impact of e-cigarettes on the health of users may be much more complex than originally thought, challenging their widely promoted image as a safer alternative to traditional cigarettes [3][4].</w:t>
      </w:r>
    </w:p>
    <w:p w14:paraId="11CBDCB7"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A key finding in the pathogenesis of EVALI was the association of the syndrome with the presence of vitamin E acetate (VEA) in illegal e-cigarette cartridges containing THC, which highlights the role of the illegal market in the development of the epidemic [10][11]. Heating VEA in e-cigarettes leads to the formation of toxic substances that disrupt lung function on multiple levels, causing inflammation in the mechanism of lipoid pneumonia or other forms of lung damage [16][17][18]. Although the clinical symptoms of EVALI remain rather nonspecific, </w:t>
      </w:r>
      <w:proofErr w:type="gramStart"/>
      <w:r w:rsidRPr="00495AC3">
        <w:rPr>
          <w:rFonts w:asciiTheme="minorHAnsi" w:hAnsiTheme="minorHAnsi" w:cstheme="minorHAnsi"/>
          <w:lang w:val="en-US"/>
        </w:rPr>
        <w:t>similar to</w:t>
      </w:r>
      <w:proofErr w:type="gramEnd"/>
      <w:r w:rsidRPr="00495AC3">
        <w:rPr>
          <w:rFonts w:asciiTheme="minorHAnsi" w:hAnsiTheme="minorHAnsi" w:cstheme="minorHAnsi"/>
          <w:lang w:val="en-US"/>
        </w:rPr>
        <w:t xml:space="preserve"> those of viral infections of the lower respiratory tract, the use of appropriate diagnostic methods, such as radiological imaging and BALF studies, allows for more effective differentiation of cases [9][20][24][25][26].</w:t>
      </w:r>
    </w:p>
    <w:p w14:paraId="54DF0044" w14:textId="77777777" w:rsidR="00495AC3" w:rsidRP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Treatment, mainly based on the use of </w:t>
      </w:r>
      <w:proofErr w:type="spellStart"/>
      <w:r w:rsidRPr="00495AC3">
        <w:rPr>
          <w:rFonts w:asciiTheme="minorHAnsi" w:hAnsiTheme="minorHAnsi" w:cstheme="minorHAnsi"/>
          <w:lang w:val="en-US"/>
        </w:rPr>
        <w:t>glucocorticosteroids</w:t>
      </w:r>
      <w:proofErr w:type="spellEnd"/>
      <w:r w:rsidRPr="00495AC3">
        <w:rPr>
          <w:rFonts w:asciiTheme="minorHAnsi" w:hAnsiTheme="minorHAnsi" w:cstheme="minorHAnsi"/>
          <w:lang w:val="en-US"/>
        </w:rPr>
        <w:t xml:space="preserve"> and antimicrobial therapy, shows promising results, although it requires individual adjustment due to the risk of </w:t>
      </w:r>
      <w:r w:rsidRPr="00495AC3">
        <w:rPr>
          <w:rFonts w:asciiTheme="minorHAnsi" w:hAnsiTheme="minorHAnsi" w:cstheme="minorHAnsi"/>
          <w:lang w:val="en-US"/>
        </w:rPr>
        <w:lastRenderedPageBreak/>
        <w:t>complications, especially in the presence of co-occurring infections [9][27][28][29][30][31]. The prognosis is good, but the high rate of relapses, especially with continued use of e-cigarettes, emphasizes the importance of health education and abandoning their further use [32].</w:t>
      </w:r>
    </w:p>
    <w:p w14:paraId="0A1A1BDB" w14:textId="77777777" w:rsidR="00495AC3" w:rsidRDefault="00495AC3" w:rsidP="00AD2DC7">
      <w:pPr>
        <w:spacing w:line="360" w:lineRule="auto"/>
        <w:ind w:firstLine="708"/>
        <w:jc w:val="both"/>
        <w:rPr>
          <w:rFonts w:asciiTheme="minorHAnsi" w:hAnsiTheme="minorHAnsi" w:cstheme="minorHAnsi"/>
          <w:lang w:val="en-US"/>
        </w:rPr>
      </w:pPr>
      <w:r w:rsidRPr="00495AC3">
        <w:rPr>
          <w:rFonts w:asciiTheme="minorHAnsi" w:hAnsiTheme="minorHAnsi" w:cstheme="minorHAnsi"/>
          <w:lang w:val="en-US"/>
        </w:rPr>
        <w:t xml:space="preserve">To prevent recurrence of EVALI epidemics and similar incidents, it is crucial to increase physicians' awareness of this disease, routinely ask patients about the use of e-cigarettes, and educate them about the harmfulness of vaping, especially cartridges from unreliable sources. Patients should also be warned against adding substances to cartridges [9][10][24][32]. Additionally, it is necessary to tighten e-cigarette sales policies, including by raising the minimum purchase age, banning flavored cartridges, and limiting online sales [33]. The CDC recommends avoiding recommending a return to smoking traditional cigarettes and instead </w:t>
      </w:r>
      <w:proofErr w:type="gramStart"/>
      <w:r w:rsidRPr="00495AC3">
        <w:rPr>
          <w:rFonts w:asciiTheme="minorHAnsi" w:hAnsiTheme="minorHAnsi" w:cstheme="minorHAnsi"/>
          <w:lang w:val="en-US"/>
        </w:rPr>
        <w:t>offering assistance</w:t>
      </w:r>
      <w:proofErr w:type="gramEnd"/>
      <w:r w:rsidRPr="00495AC3">
        <w:rPr>
          <w:rFonts w:asciiTheme="minorHAnsi" w:hAnsiTheme="minorHAnsi" w:cstheme="minorHAnsi"/>
          <w:lang w:val="en-US"/>
        </w:rPr>
        <w:t xml:space="preserve"> in quitting smoking [9].</w:t>
      </w:r>
    </w:p>
    <w:p w14:paraId="50A8BB00" w14:textId="77777777" w:rsidR="00AD2DC7" w:rsidRPr="00495AC3" w:rsidRDefault="00AD2DC7" w:rsidP="00AD2DC7">
      <w:pPr>
        <w:spacing w:line="360" w:lineRule="auto"/>
        <w:ind w:firstLine="708"/>
        <w:jc w:val="both"/>
        <w:rPr>
          <w:rFonts w:asciiTheme="minorHAnsi" w:hAnsiTheme="minorHAnsi" w:cstheme="minorHAnsi"/>
          <w:lang w:val="en-US"/>
        </w:rPr>
      </w:pPr>
    </w:p>
    <w:p w14:paraId="26AB4A4C"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Disclosures</w:t>
      </w:r>
    </w:p>
    <w:p w14:paraId="44E46616"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Author's contribution: KA, AW, BP</w:t>
      </w:r>
    </w:p>
    <w:p w14:paraId="5C185CC5"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Conceptualization:  JB, MB</w:t>
      </w:r>
    </w:p>
    <w:p w14:paraId="4D30CCF9"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Methodology: AP, AB</w:t>
      </w:r>
    </w:p>
    <w:p w14:paraId="2290C6B3"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Software: PK, KA</w:t>
      </w:r>
    </w:p>
    <w:p w14:paraId="4E1632D2"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Check: KB, JB</w:t>
      </w:r>
    </w:p>
    <w:p w14:paraId="2DB82908"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Formal analysis: KA, PK</w:t>
      </w:r>
    </w:p>
    <w:p w14:paraId="48FBD7F3"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Investigation: KB</w:t>
      </w:r>
    </w:p>
    <w:p w14:paraId="60EC2BE6"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Resources: MB</w:t>
      </w:r>
    </w:p>
    <w:p w14:paraId="7256FDBD"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Data curation: BP</w:t>
      </w:r>
    </w:p>
    <w:p w14:paraId="191D3633"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Writing-rough preparation: AP</w:t>
      </w:r>
    </w:p>
    <w:p w14:paraId="11349C9D" w14:textId="2A68FF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Writing review and editing: AD</w:t>
      </w:r>
    </w:p>
    <w:p w14:paraId="6DCF5A85"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Visualization: KA</w:t>
      </w:r>
    </w:p>
    <w:p w14:paraId="1394526B"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Project administration: AW, JB</w:t>
      </w:r>
    </w:p>
    <w:p w14:paraId="5BABCDFB" w14:textId="3E4F7C15"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Supplementary Materials: They have not been provided.</w:t>
      </w:r>
    </w:p>
    <w:p w14:paraId="4FF03C2D"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Funding Statement: This research received no external funding. </w:t>
      </w:r>
    </w:p>
    <w:p w14:paraId="30652FE7"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Institutional Review Board Statement: Not applicable. </w:t>
      </w:r>
    </w:p>
    <w:p w14:paraId="1D5D12DC"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Informed Consent Statement: Not applicable. </w:t>
      </w:r>
    </w:p>
    <w:p w14:paraId="5A1DC347" w14:textId="77777777" w:rsid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Data Availability Statement: Not applicable. </w:t>
      </w:r>
    </w:p>
    <w:p w14:paraId="144DFFC2" w14:textId="75BFCCB9"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Conflict of Interest: The authors declare no conflict of interest. </w:t>
      </w:r>
    </w:p>
    <w:p w14:paraId="0F596728" w14:textId="77777777" w:rsid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All authors have read and agreed to the published version of the manuscript.</w:t>
      </w:r>
    </w:p>
    <w:p w14:paraId="259967A6" w14:textId="77777777" w:rsidR="00AD2DC7" w:rsidRDefault="00AD2DC7" w:rsidP="00495AC3">
      <w:pPr>
        <w:spacing w:line="360" w:lineRule="auto"/>
        <w:jc w:val="both"/>
        <w:rPr>
          <w:rFonts w:asciiTheme="minorHAnsi" w:hAnsiTheme="minorHAnsi" w:cstheme="minorHAnsi"/>
          <w:lang w:val="en-US"/>
        </w:rPr>
      </w:pPr>
    </w:p>
    <w:p w14:paraId="2C6D8154" w14:textId="77777777" w:rsidR="00AD2DC7" w:rsidRPr="00495AC3" w:rsidRDefault="00AD2DC7" w:rsidP="00495AC3">
      <w:pPr>
        <w:spacing w:line="360" w:lineRule="auto"/>
        <w:jc w:val="both"/>
        <w:rPr>
          <w:rFonts w:asciiTheme="minorHAnsi" w:hAnsiTheme="minorHAnsi" w:cstheme="minorHAnsi"/>
          <w:lang w:val="en-US"/>
        </w:rPr>
      </w:pPr>
    </w:p>
    <w:p w14:paraId="73D72D6A"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b/>
          <w:bCs/>
          <w:lang w:val="en-US"/>
        </w:rPr>
        <w:t>References:</w:t>
      </w:r>
    </w:p>
    <w:p w14:paraId="20F62B14"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 Garner, C., &amp; Stevens, R. (2014). A brief description of history, operation and regulation. </w:t>
      </w:r>
      <w:r w:rsidRPr="00495AC3">
        <w:rPr>
          <w:rFonts w:asciiTheme="minorHAnsi" w:hAnsiTheme="minorHAnsi" w:cstheme="minorHAnsi"/>
          <w:i/>
          <w:iCs/>
          <w:lang w:val="en-US"/>
        </w:rPr>
        <w:t>E-Cigarette Task Force: Reference Report</w:t>
      </w:r>
      <w:r w:rsidRPr="00495AC3">
        <w:rPr>
          <w:rFonts w:asciiTheme="minorHAnsi" w:hAnsiTheme="minorHAnsi" w:cstheme="minorHAnsi"/>
          <w:lang w:val="en-US"/>
        </w:rPr>
        <w:t>, 1-12.</w:t>
      </w:r>
    </w:p>
    <w:p w14:paraId="1EDF6394"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2.</w:t>
      </w:r>
      <w:hyperlink r:id="rId22" w:history="1">
        <w:r w:rsidRPr="00495AC3">
          <w:rPr>
            <w:rStyle w:val="Hipercze"/>
            <w:rFonts w:asciiTheme="minorHAnsi" w:hAnsiTheme="minorHAnsi" w:cstheme="minorHAnsi"/>
            <w:lang w:val="en-US"/>
          </w:rPr>
          <w:t>https://worldwide.espacenet.com/publicationDetails/biblio?CC=US&amp;NR=2007267031&amp;KC=&amp;FT=E&amp;locale=en_EP</w:t>
        </w:r>
      </w:hyperlink>
      <w:r w:rsidRPr="00495AC3">
        <w:rPr>
          <w:rFonts w:asciiTheme="minorHAnsi" w:hAnsiTheme="minorHAnsi" w:cstheme="minorHAnsi"/>
          <w:lang w:val="en-US"/>
        </w:rPr>
        <w:t xml:space="preserve"> (accessed 15.10.2024)</w:t>
      </w:r>
    </w:p>
    <w:p w14:paraId="7AFBD8EA"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3. </w:t>
      </w:r>
      <w:hyperlink r:id="rId23" w:history="1">
        <w:r w:rsidRPr="00495AC3">
          <w:rPr>
            <w:rStyle w:val="Hipercze"/>
            <w:rFonts w:asciiTheme="minorHAnsi" w:hAnsiTheme="minorHAnsi" w:cstheme="minorHAnsi"/>
            <w:lang w:val="en-US"/>
          </w:rPr>
          <w:t>https://www.who.int/publications/i/item/9789240032095</w:t>
        </w:r>
      </w:hyperlink>
      <w:r w:rsidRPr="00495AC3">
        <w:rPr>
          <w:rFonts w:asciiTheme="minorHAnsi" w:hAnsiTheme="minorHAnsi" w:cstheme="minorHAnsi"/>
          <w:lang w:val="en-US"/>
        </w:rPr>
        <w:t xml:space="preserve"> (accessed 15.10.2024)</w:t>
      </w:r>
    </w:p>
    <w:p w14:paraId="2ABD7308"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4. Yoong, S. L., Hall, A., </w:t>
      </w:r>
      <w:proofErr w:type="spellStart"/>
      <w:r w:rsidRPr="00495AC3">
        <w:rPr>
          <w:rFonts w:asciiTheme="minorHAnsi" w:hAnsiTheme="minorHAnsi" w:cstheme="minorHAnsi"/>
          <w:lang w:val="en-US"/>
        </w:rPr>
        <w:t>Turon</w:t>
      </w:r>
      <w:proofErr w:type="spellEnd"/>
      <w:r w:rsidRPr="00495AC3">
        <w:rPr>
          <w:rFonts w:asciiTheme="minorHAnsi" w:hAnsiTheme="minorHAnsi" w:cstheme="minorHAnsi"/>
          <w:lang w:val="en-US"/>
        </w:rPr>
        <w:t>, H., Stockings, E., Leonard, A., Grady, A., ... &amp; Wolfenden, L. (2021). Association between electronic nicotine delivery systems and electronic non-nicotine delivery systems with initiation of tobacco use in individuals aged&lt; 20 years. A systematic review and meta-analysis. </w:t>
      </w:r>
      <w:proofErr w:type="spellStart"/>
      <w:r w:rsidRPr="00495AC3">
        <w:rPr>
          <w:rFonts w:asciiTheme="minorHAnsi" w:hAnsiTheme="minorHAnsi" w:cstheme="minorHAnsi"/>
          <w:i/>
          <w:iCs/>
          <w:lang w:val="en-US"/>
        </w:rPr>
        <w:t>PLoS</w:t>
      </w:r>
      <w:proofErr w:type="spellEnd"/>
      <w:r w:rsidRPr="00495AC3">
        <w:rPr>
          <w:rFonts w:asciiTheme="minorHAnsi" w:hAnsiTheme="minorHAnsi" w:cstheme="minorHAnsi"/>
          <w:i/>
          <w:iCs/>
          <w:lang w:val="en-US"/>
        </w:rPr>
        <w:t xml:space="preserve"> One</w:t>
      </w:r>
      <w:r w:rsidRPr="00495AC3">
        <w:rPr>
          <w:rFonts w:asciiTheme="minorHAnsi" w:hAnsiTheme="minorHAnsi" w:cstheme="minorHAnsi"/>
          <w:lang w:val="en-US"/>
        </w:rPr>
        <w:t>, </w:t>
      </w:r>
      <w:r w:rsidRPr="00495AC3">
        <w:rPr>
          <w:rFonts w:asciiTheme="minorHAnsi" w:hAnsiTheme="minorHAnsi" w:cstheme="minorHAnsi"/>
          <w:i/>
          <w:iCs/>
          <w:lang w:val="en-US"/>
        </w:rPr>
        <w:t>16</w:t>
      </w:r>
      <w:r w:rsidRPr="00495AC3">
        <w:rPr>
          <w:rFonts w:asciiTheme="minorHAnsi" w:hAnsiTheme="minorHAnsi" w:cstheme="minorHAnsi"/>
          <w:lang w:val="en-US"/>
        </w:rPr>
        <w:t xml:space="preserve">(9), e0256044. </w:t>
      </w:r>
      <w:hyperlink r:id="rId24" w:history="1">
        <w:r w:rsidRPr="00495AC3">
          <w:rPr>
            <w:rStyle w:val="Hipercze"/>
            <w:rFonts w:asciiTheme="minorHAnsi" w:hAnsiTheme="minorHAnsi" w:cstheme="minorHAnsi"/>
            <w:lang w:val="en-US"/>
          </w:rPr>
          <w:t>https://doi.org/10.1371/journal.pone.0256044</w:t>
        </w:r>
      </w:hyperlink>
    </w:p>
    <w:p w14:paraId="40F2D4A5"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lang w:val="en-US"/>
        </w:rPr>
        <w:t>5. Choi, K., &amp; Forster, J. (2013). Characteristics associated with awareness, perceptions, and use of electronic nicotine delivery systems among young US Midwestern adults. </w:t>
      </w:r>
      <w:r w:rsidRPr="00495AC3">
        <w:rPr>
          <w:rFonts w:asciiTheme="minorHAnsi" w:hAnsiTheme="minorHAnsi" w:cstheme="minorHAnsi"/>
          <w:i/>
          <w:iCs/>
        </w:rPr>
        <w:t xml:space="preserve">American </w:t>
      </w:r>
      <w:proofErr w:type="spellStart"/>
      <w:r w:rsidRPr="00495AC3">
        <w:rPr>
          <w:rFonts w:asciiTheme="minorHAnsi" w:hAnsiTheme="minorHAnsi" w:cstheme="minorHAnsi"/>
          <w:i/>
          <w:iCs/>
        </w:rPr>
        <w:t>journal</w:t>
      </w:r>
      <w:proofErr w:type="spellEnd"/>
      <w:r w:rsidRPr="00495AC3">
        <w:rPr>
          <w:rFonts w:asciiTheme="minorHAnsi" w:hAnsiTheme="minorHAnsi" w:cstheme="minorHAnsi"/>
          <w:i/>
          <w:iCs/>
        </w:rPr>
        <w:t xml:space="preserve"> of public </w:t>
      </w:r>
      <w:proofErr w:type="spellStart"/>
      <w:r w:rsidRPr="00495AC3">
        <w:rPr>
          <w:rFonts w:asciiTheme="minorHAnsi" w:hAnsiTheme="minorHAnsi" w:cstheme="minorHAnsi"/>
          <w:i/>
          <w:iCs/>
        </w:rPr>
        <w:t>health</w:t>
      </w:r>
      <w:proofErr w:type="spellEnd"/>
      <w:r w:rsidRPr="00495AC3">
        <w:rPr>
          <w:rFonts w:asciiTheme="minorHAnsi" w:hAnsiTheme="minorHAnsi" w:cstheme="minorHAnsi"/>
        </w:rPr>
        <w:t>, </w:t>
      </w:r>
      <w:r w:rsidRPr="00495AC3">
        <w:rPr>
          <w:rFonts w:asciiTheme="minorHAnsi" w:hAnsiTheme="minorHAnsi" w:cstheme="minorHAnsi"/>
          <w:i/>
          <w:iCs/>
        </w:rPr>
        <w:t>103</w:t>
      </w:r>
      <w:r w:rsidRPr="00495AC3">
        <w:rPr>
          <w:rFonts w:asciiTheme="minorHAnsi" w:hAnsiTheme="minorHAnsi" w:cstheme="minorHAnsi"/>
        </w:rPr>
        <w:t xml:space="preserve">(3), 556-561. </w:t>
      </w:r>
      <w:hyperlink r:id="rId25" w:tooltip="Characteristics Associated With Awareness, Perceptions, and Use of Electronic Nicotine Delivery Systems Among Young US Midwestern Adults" w:history="1">
        <w:r w:rsidRPr="00495AC3">
          <w:rPr>
            <w:rStyle w:val="Hipercze"/>
            <w:rFonts w:asciiTheme="minorHAnsi" w:hAnsiTheme="minorHAnsi" w:cstheme="minorHAnsi"/>
          </w:rPr>
          <w:t>https://doi.org/10.2105/AJPH.2012.300947</w:t>
        </w:r>
      </w:hyperlink>
    </w:p>
    <w:p w14:paraId="3ED49682" w14:textId="77777777" w:rsidR="00495AC3" w:rsidRPr="00495AC3" w:rsidRDefault="00495AC3" w:rsidP="00495AC3">
      <w:pPr>
        <w:spacing w:line="360" w:lineRule="auto"/>
        <w:jc w:val="both"/>
        <w:rPr>
          <w:rFonts w:asciiTheme="minorHAnsi" w:hAnsiTheme="minorHAnsi" w:cstheme="minorHAnsi"/>
          <w:b/>
          <w:bCs/>
          <w:lang w:val="en-US"/>
        </w:rPr>
      </w:pPr>
      <w:r w:rsidRPr="00495AC3">
        <w:rPr>
          <w:rFonts w:asciiTheme="minorHAnsi" w:hAnsiTheme="minorHAnsi" w:cstheme="minorHAnsi"/>
          <w:lang w:val="en-US"/>
        </w:rPr>
        <w:t xml:space="preserve">6. Ali, F. R. M., Seaman, E. L., Crane, E., </w:t>
      </w:r>
      <w:proofErr w:type="spellStart"/>
      <w:r w:rsidRPr="00495AC3">
        <w:rPr>
          <w:rFonts w:asciiTheme="minorHAnsi" w:hAnsiTheme="minorHAnsi" w:cstheme="minorHAnsi"/>
          <w:lang w:val="en-US"/>
        </w:rPr>
        <w:t>Schillo</w:t>
      </w:r>
      <w:proofErr w:type="spellEnd"/>
      <w:r w:rsidRPr="00495AC3">
        <w:rPr>
          <w:rFonts w:asciiTheme="minorHAnsi" w:hAnsiTheme="minorHAnsi" w:cstheme="minorHAnsi"/>
          <w:lang w:val="en-US"/>
        </w:rPr>
        <w:t>, B., &amp; King, B. A. (2023). Trends in US E-cigarette sales and prices by nicotine strength, overall and by product and flavor type, 2017–2022. </w:t>
      </w:r>
      <w:r w:rsidRPr="00495AC3">
        <w:rPr>
          <w:rFonts w:asciiTheme="minorHAnsi" w:hAnsiTheme="minorHAnsi" w:cstheme="minorHAnsi"/>
          <w:i/>
          <w:iCs/>
          <w:lang w:val="en-US"/>
        </w:rPr>
        <w:t>Nicotine and Tobacco Research</w:t>
      </w:r>
      <w:r w:rsidRPr="00495AC3">
        <w:rPr>
          <w:rFonts w:asciiTheme="minorHAnsi" w:hAnsiTheme="minorHAnsi" w:cstheme="minorHAnsi"/>
          <w:lang w:val="en-US"/>
        </w:rPr>
        <w:t>, </w:t>
      </w:r>
      <w:r w:rsidRPr="00495AC3">
        <w:rPr>
          <w:rFonts w:asciiTheme="minorHAnsi" w:hAnsiTheme="minorHAnsi" w:cstheme="minorHAnsi"/>
          <w:i/>
          <w:iCs/>
          <w:lang w:val="en-US"/>
        </w:rPr>
        <w:t>25</w:t>
      </w:r>
      <w:r w:rsidRPr="00495AC3">
        <w:rPr>
          <w:rFonts w:asciiTheme="minorHAnsi" w:hAnsiTheme="minorHAnsi" w:cstheme="minorHAnsi"/>
          <w:lang w:val="en-US"/>
        </w:rPr>
        <w:t xml:space="preserve">(5), 1052-1056. </w:t>
      </w:r>
      <w:hyperlink r:id="rId26" w:history="1">
        <w:r w:rsidRPr="00495AC3">
          <w:rPr>
            <w:rStyle w:val="Hipercze"/>
            <w:rFonts w:asciiTheme="minorHAnsi" w:hAnsiTheme="minorHAnsi" w:cstheme="minorHAnsi"/>
            <w:lang w:val="en-US"/>
          </w:rPr>
          <w:t>https://doi.org/10.1093/ntr/ntac284</w:t>
        </w:r>
      </w:hyperlink>
    </w:p>
    <w:p w14:paraId="7C9EC786"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lang w:val="en-US"/>
        </w:rPr>
        <w:t xml:space="preserve">7. </w:t>
      </w:r>
      <w:proofErr w:type="spellStart"/>
      <w:r w:rsidRPr="00495AC3">
        <w:rPr>
          <w:rFonts w:asciiTheme="minorHAnsi" w:hAnsiTheme="minorHAnsi" w:cstheme="minorHAnsi"/>
          <w:lang w:val="en-US"/>
        </w:rPr>
        <w:t>Gentzke</w:t>
      </w:r>
      <w:proofErr w:type="spellEnd"/>
      <w:r w:rsidRPr="00495AC3">
        <w:rPr>
          <w:rFonts w:asciiTheme="minorHAnsi" w:hAnsiTheme="minorHAnsi" w:cstheme="minorHAnsi"/>
          <w:lang w:val="en-US"/>
        </w:rPr>
        <w:t>, A. S. (2022). Tobacco product use and associated factors among middle and high school students—National Youth Tobacco Survey, United States, 2021. </w:t>
      </w:r>
      <w:r w:rsidRPr="00495AC3">
        <w:rPr>
          <w:rFonts w:asciiTheme="minorHAnsi" w:hAnsiTheme="minorHAnsi" w:cstheme="minorHAnsi"/>
          <w:i/>
          <w:iCs/>
        </w:rPr>
        <w:t xml:space="preserve">MMWR. </w:t>
      </w:r>
      <w:proofErr w:type="spellStart"/>
      <w:r w:rsidRPr="00495AC3">
        <w:rPr>
          <w:rFonts w:asciiTheme="minorHAnsi" w:hAnsiTheme="minorHAnsi" w:cstheme="minorHAnsi"/>
          <w:i/>
          <w:iCs/>
        </w:rPr>
        <w:t>Surveillance</w:t>
      </w:r>
      <w:proofErr w:type="spellEnd"/>
      <w:r w:rsidRPr="00495AC3">
        <w:rPr>
          <w:rFonts w:asciiTheme="minorHAnsi" w:hAnsiTheme="minorHAnsi" w:cstheme="minorHAnsi"/>
          <w:i/>
          <w:iCs/>
        </w:rPr>
        <w:t xml:space="preserve"> </w:t>
      </w:r>
      <w:proofErr w:type="spellStart"/>
      <w:r w:rsidRPr="00495AC3">
        <w:rPr>
          <w:rFonts w:asciiTheme="minorHAnsi" w:hAnsiTheme="minorHAnsi" w:cstheme="minorHAnsi"/>
          <w:i/>
          <w:iCs/>
        </w:rPr>
        <w:t>Summaries</w:t>
      </w:r>
      <w:proofErr w:type="spellEnd"/>
      <w:r w:rsidRPr="00495AC3">
        <w:rPr>
          <w:rFonts w:asciiTheme="minorHAnsi" w:hAnsiTheme="minorHAnsi" w:cstheme="minorHAnsi"/>
        </w:rPr>
        <w:t>, </w:t>
      </w:r>
      <w:r w:rsidRPr="00495AC3">
        <w:rPr>
          <w:rFonts w:asciiTheme="minorHAnsi" w:hAnsiTheme="minorHAnsi" w:cstheme="minorHAnsi"/>
          <w:i/>
          <w:iCs/>
        </w:rPr>
        <w:t>71</w:t>
      </w:r>
      <w:r w:rsidRPr="00495AC3">
        <w:rPr>
          <w:rFonts w:asciiTheme="minorHAnsi" w:hAnsiTheme="minorHAnsi" w:cstheme="minorHAnsi"/>
        </w:rPr>
        <w:t xml:space="preserve">. </w:t>
      </w:r>
      <w:hyperlink r:id="rId27" w:tgtFrame="_blank" w:history="1">
        <w:r w:rsidRPr="00495AC3">
          <w:rPr>
            <w:rStyle w:val="Hipercze"/>
            <w:rFonts w:asciiTheme="minorHAnsi" w:hAnsiTheme="minorHAnsi" w:cstheme="minorHAnsi"/>
          </w:rPr>
          <w:t>http://dx.doi.org/10.15585/mmwr.ss7105a1</w:t>
        </w:r>
      </w:hyperlink>
    </w:p>
    <w:p w14:paraId="725958C3"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8.</w:t>
      </w:r>
      <w:r w:rsidRPr="00495AC3">
        <w:rPr>
          <w:rFonts w:asciiTheme="minorHAnsi" w:hAnsiTheme="minorHAnsi" w:cstheme="minorHAnsi"/>
          <w:color w:val="222222"/>
          <w:shd w:val="clear" w:color="auto" w:fill="FFFFFF"/>
          <w:lang w:val="en-US"/>
        </w:rPr>
        <w:t xml:space="preserve"> </w:t>
      </w:r>
      <w:proofErr w:type="spellStart"/>
      <w:r w:rsidRPr="00495AC3">
        <w:rPr>
          <w:rFonts w:asciiTheme="minorHAnsi" w:hAnsiTheme="minorHAnsi" w:cstheme="minorHAnsi"/>
          <w:lang w:val="en-US"/>
        </w:rPr>
        <w:t>Czoli</w:t>
      </w:r>
      <w:proofErr w:type="spellEnd"/>
      <w:r w:rsidRPr="00495AC3">
        <w:rPr>
          <w:rFonts w:asciiTheme="minorHAnsi" w:hAnsiTheme="minorHAnsi" w:cstheme="minorHAnsi"/>
          <w:lang w:val="en-US"/>
        </w:rPr>
        <w:t>, C. D., Hammond, D., &amp; White, C. M. (2014). Electronic cigarettes in Canada: prevalence of use and perceptions among youth and young adults. </w:t>
      </w:r>
      <w:r w:rsidRPr="00495AC3">
        <w:rPr>
          <w:rFonts w:asciiTheme="minorHAnsi" w:hAnsiTheme="minorHAnsi" w:cstheme="minorHAnsi"/>
          <w:i/>
          <w:iCs/>
          <w:lang w:val="en-US"/>
        </w:rPr>
        <w:t>Canadian journal of public health</w:t>
      </w:r>
      <w:r w:rsidRPr="00495AC3">
        <w:rPr>
          <w:rFonts w:asciiTheme="minorHAnsi" w:hAnsiTheme="minorHAnsi" w:cstheme="minorHAnsi"/>
          <w:lang w:val="en-US"/>
        </w:rPr>
        <w:t>, </w:t>
      </w:r>
      <w:r w:rsidRPr="00495AC3">
        <w:rPr>
          <w:rFonts w:asciiTheme="minorHAnsi" w:hAnsiTheme="minorHAnsi" w:cstheme="minorHAnsi"/>
          <w:i/>
          <w:iCs/>
          <w:lang w:val="en-US"/>
        </w:rPr>
        <w:t>105</w:t>
      </w:r>
      <w:r w:rsidRPr="00495AC3">
        <w:rPr>
          <w:rFonts w:asciiTheme="minorHAnsi" w:hAnsiTheme="minorHAnsi" w:cstheme="minorHAnsi"/>
          <w:lang w:val="en-US"/>
        </w:rPr>
        <w:t xml:space="preserve">(2), e97-e102. </w:t>
      </w:r>
      <w:hyperlink r:id="rId28" w:history="1">
        <w:r w:rsidRPr="00495AC3">
          <w:rPr>
            <w:rStyle w:val="Hipercze"/>
            <w:rFonts w:asciiTheme="minorHAnsi" w:hAnsiTheme="minorHAnsi" w:cstheme="minorHAnsi"/>
            <w:lang w:val="en-US"/>
          </w:rPr>
          <w:t>https://doi.org/10.17269/cjph.105.4119</w:t>
        </w:r>
      </w:hyperlink>
    </w:p>
    <w:p w14:paraId="68AF1F0F"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9. Centers for Disease Control and Prevention. (2020). Outbreak of lung injury associated with the use of e-cigarette, or vaping, products. Available at: </w:t>
      </w:r>
      <w:hyperlink r:id="rId29" w:history="1">
        <w:r w:rsidRPr="00495AC3">
          <w:rPr>
            <w:rStyle w:val="Hipercze"/>
            <w:rFonts w:asciiTheme="minorHAnsi" w:hAnsiTheme="minorHAnsi" w:cstheme="minorHAnsi"/>
            <w:lang w:val="en-US"/>
          </w:rPr>
          <w:t>https://archive.cdc.gov/www_cdc_gov/tobacco/basic_information/e-cigarettes/severe-lung-disease.html</w:t>
        </w:r>
      </w:hyperlink>
      <w:r w:rsidRPr="00495AC3">
        <w:rPr>
          <w:rFonts w:asciiTheme="minorHAnsi" w:hAnsiTheme="minorHAnsi" w:cstheme="minorHAnsi"/>
          <w:lang w:val="en-US"/>
        </w:rPr>
        <w:t xml:space="preserve"> (accessed 18.10.2024)</w:t>
      </w:r>
    </w:p>
    <w:p w14:paraId="214763C9"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10. Eisenberg Z, Moy D, Lam V, Cheng C, Richard J, </w:t>
      </w:r>
      <w:proofErr w:type="spellStart"/>
      <w:r w:rsidRPr="00495AC3">
        <w:rPr>
          <w:rFonts w:asciiTheme="minorHAnsi" w:hAnsiTheme="minorHAnsi" w:cstheme="minorHAnsi"/>
          <w:lang w:val="en-US"/>
        </w:rPr>
        <w:t>Burack</w:t>
      </w:r>
      <w:proofErr w:type="spellEnd"/>
      <w:r w:rsidRPr="00495AC3">
        <w:rPr>
          <w:rFonts w:asciiTheme="minorHAnsi" w:hAnsiTheme="minorHAnsi" w:cstheme="minorHAnsi"/>
          <w:lang w:val="en-US"/>
        </w:rPr>
        <w:t xml:space="preserve"> B. Contaminant analysis of illicit vs regulated market extracts. San Francisco: </w:t>
      </w:r>
      <w:proofErr w:type="spellStart"/>
      <w:r w:rsidRPr="00495AC3">
        <w:rPr>
          <w:rFonts w:asciiTheme="minorHAnsi" w:hAnsiTheme="minorHAnsi" w:cstheme="minorHAnsi"/>
          <w:lang w:val="en-US"/>
        </w:rPr>
        <w:t>Anresco</w:t>
      </w:r>
      <w:proofErr w:type="spellEnd"/>
      <w:r w:rsidRPr="00495AC3">
        <w:rPr>
          <w:rFonts w:asciiTheme="minorHAnsi" w:hAnsiTheme="minorHAnsi" w:cstheme="minorHAnsi"/>
          <w:lang w:val="en-US"/>
        </w:rPr>
        <w:t xml:space="preserve"> Laboratories, October 26, 2019 Available at: </w:t>
      </w:r>
      <w:hyperlink r:id="rId30" w:history="1">
        <w:r w:rsidRPr="00495AC3">
          <w:rPr>
            <w:rStyle w:val="Hipercze"/>
            <w:rFonts w:asciiTheme="minorHAnsi" w:hAnsiTheme="minorHAnsi" w:cstheme="minorHAnsi"/>
            <w:lang w:val="en-US"/>
          </w:rPr>
          <w:t>https://anresco.com/contaminant-analysis-of-illicit-vs-regulated-market-extracts/</w:t>
        </w:r>
      </w:hyperlink>
      <w:r w:rsidRPr="00495AC3">
        <w:rPr>
          <w:rFonts w:asciiTheme="minorHAnsi" w:hAnsiTheme="minorHAnsi" w:cstheme="minorHAnsi"/>
          <w:lang w:val="en-US"/>
        </w:rPr>
        <w:t xml:space="preserve"> (accessed 20.10.2024)</w:t>
      </w:r>
    </w:p>
    <w:p w14:paraId="4ACBC79F"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lastRenderedPageBreak/>
        <w:t xml:space="preserve">11. Blount, B. C., </w:t>
      </w:r>
      <w:proofErr w:type="spellStart"/>
      <w:r w:rsidRPr="00495AC3">
        <w:rPr>
          <w:rFonts w:asciiTheme="minorHAnsi" w:hAnsiTheme="minorHAnsi" w:cstheme="minorHAnsi"/>
          <w:lang w:val="en-US"/>
        </w:rPr>
        <w:t>Karwowski</w:t>
      </w:r>
      <w:proofErr w:type="spellEnd"/>
      <w:r w:rsidRPr="00495AC3">
        <w:rPr>
          <w:rFonts w:asciiTheme="minorHAnsi" w:hAnsiTheme="minorHAnsi" w:cstheme="minorHAnsi"/>
          <w:lang w:val="en-US"/>
        </w:rPr>
        <w:t>, M. P., Shields, P. G., Morel-Espinosa, M., Valentin-</w:t>
      </w:r>
      <w:proofErr w:type="spellStart"/>
      <w:r w:rsidRPr="00495AC3">
        <w:rPr>
          <w:rFonts w:asciiTheme="minorHAnsi" w:hAnsiTheme="minorHAnsi" w:cstheme="minorHAnsi"/>
          <w:lang w:val="en-US"/>
        </w:rPr>
        <w:t>Blasini</w:t>
      </w:r>
      <w:proofErr w:type="spellEnd"/>
      <w:r w:rsidRPr="00495AC3">
        <w:rPr>
          <w:rFonts w:asciiTheme="minorHAnsi" w:hAnsiTheme="minorHAnsi" w:cstheme="minorHAnsi"/>
          <w:lang w:val="en-US"/>
        </w:rPr>
        <w:t>, L., Gardner, M., ... &amp; Pirkle, J. L. (2020). Vitamin E acetate in bronchoalveolar-lavage fluid associated with EVALI. </w:t>
      </w:r>
      <w:r w:rsidRPr="00495AC3">
        <w:rPr>
          <w:rFonts w:asciiTheme="minorHAnsi" w:hAnsiTheme="minorHAnsi" w:cstheme="minorHAnsi"/>
          <w:i/>
          <w:iCs/>
          <w:lang w:val="en-US"/>
        </w:rPr>
        <w:t>New England Journal of Medicine</w:t>
      </w:r>
      <w:r w:rsidRPr="00495AC3">
        <w:rPr>
          <w:rFonts w:asciiTheme="minorHAnsi" w:hAnsiTheme="minorHAnsi" w:cstheme="minorHAnsi"/>
          <w:lang w:val="en-US"/>
        </w:rPr>
        <w:t>, </w:t>
      </w:r>
      <w:r w:rsidRPr="00495AC3">
        <w:rPr>
          <w:rFonts w:asciiTheme="minorHAnsi" w:hAnsiTheme="minorHAnsi" w:cstheme="minorHAnsi"/>
          <w:i/>
          <w:iCs/>
          <w:lang w:val="en-US"/>
        </w:rPr>
        <w:t>382</w:t>
      </w:r>
      <w:r w:rsidRPr="00495AC3">
        <w:rPr>
          <w:rFonts w:asciiTheme="minorHAnsi" w:hAnsiTheme="minorHAnsi" w:cstheme="minorHAnsi"/>
          <w:lang w:val="en-US"/>
        </w:rPr>
        <w:t xml:space="preserve">(8), 697-705. </w:t>
      </w:r>
    </w:p>
    <w:p w14:paraId="06B6020C"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12. Rizvi, S., Raza, S. T., Ahmed, F., Ahmad, A., Abbas, S., &amp; Mahdi, F. (2014). The role of vitamin E in human health and some diseases. </w:t>
      </w:r>
      <w:r w:rsidRPr="00495AC3">
        <w:rPr>
          <w:rFonts w:asciiTheme="minorHAnsi" w:hAnsiTheme="minorHAnsi" w:cstheme="minorHAnsi"/>
          <w:i/>
          <w:iCs/>
          <w:lang w:val="en-US"/>
        </w:rPr>
        <w:t>Sultan Qaboos University Medical Journal</w:t>
      </w:r>
      <w:r w:rsidRPr="00495AC3">
        <w:rPr>
          <w:rFonts w:asciiTheme="minorHAnsi" w:hAnsiTheme="minorHAnsi" w:cstheme="minorHAnsi"/>
          <w:lang w:val="en-US"/>
        </w:rPr>
        <w:t>, </w:t>
      </w:r>
      <w:r w:rsidRPr="00495AC3">
        <w:rPr>
          <w:rFonts w:asciiTheme="minorHAnsi" w:hAnsiTheme="minorHAnsi" w:cstheme="minorHAnsi"/>
          <w:i/>
          <w:iCs/>
          <w:lang w:val="en-US"/>
        </w:rPr>
        <w:t>14</w:t>
      </w:r>
      <w:r w:rsidRPr="00495AC3">
        <w:rPr>
          <w:rFonts w:asciiTheme="minorHAnsi" w:hAnsiTheme="minorHAnsi" w:cstheme="minorHAnsi"/>
          <w:lang w:val="en-US"/>
        </w:rPr>
        <w:t>(2), e157. PMID: 24790736</w:t>
      </w:r>
    </w:p>
    <w:p w14:paraId="0F792D53"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13. Traber, M. G. (2007). Vitamin E regulatory mechanisms. </w:t>
      </w:r>
      <w:r w:rsidRPr="00495AC3">
        <w:rPr>
          <w:rFonts w:asciiTheme="minorHAnsi" w:hAnsiTheme="minorHAnsi" w:cstheme="minorHAnsi"/>
          <w:i/>
          <w:iCs/>
          <w:lang w:val="en-US"/>
        </w:rPr>
        <w:t xml:space="preserve">Annu. Rev. </w:t>
      </w:r>
      <w:proofErr w:type="spellStart"/>
      <w:r w:rsidRPr="00495AC3">
        <w:rPr>
          <w:rFonts w:asciiTheme="minorHAnsi" w:hAnsiTheme="minorHAnsi" w:cstheme="minorHAnsi"/>
          <w:i/>
          <w:iCs/>
          <w:lang w:val="en-US"/>
        </w:rPr>
        <w:t>Nutr</w:t>
      </w:r>
      <w:proofErr w:type="spellEnd"/>
      <w:r w:rsidRPr="00495AC3">
        <w:rPr>
          <w:rFonts w:asciiTheme="minorHAnsi" w:hAnsiTheme="minorHAnsi" w:cstheme="minorHAnsi"/>
          <w:i/>
          <w:iCs/>
          <w:lang w:val="en-US"/>
        </w:rPr>
        <w:t>.</w:t>
      </w:r>
      <w:r w:rsidRPr="00495AC3">
        <w:rPr>
          <w:rFonts w:asciiTheme="minorHAnsi" w:hAnsiTheme="minorHAnsi" w:cstheme="minorHAnsi"/>
          <w:lang w:val="en-US"/>
        </w:rPr>
        <w:t>, </w:t>
      </w:r>
      <w:r w:rsidRPr="00495AC3">
        <w:rPr>
          <w:rFonts w:asciiTheme="minorHAnsi" w:hAnsiTheme="minorHAnsi" w:cstheme="minorHAnsi"/>
          <w:i/>
          <w:iCs/>
          <w:lang w:val="en-US"/>
        </w:rPr>
        <w:t>27</w:t>
      </w:r>
      <w:r w:rsidRPr="00495AC3">
        <w:rPr>
          <w:rFonts w:asciiTheme="minorHAnsi" w:hAnsiTheme="minorHAnsi" w:cstheme="minorHAnsi"/>
          <w:lang w:val="en-US"/>
        </w:rPr>
        <w:t xml:space="preserve">(1), 347-362. </w:t>
      </w:r>
      <w:hyperlink r:id="rId31" w:history="1">
        <w:r w:rsidRPr="00495AC3">
          <w:rPr>
            <w:rStyle w:val="Hipercze"/>
            <w:rFonts w:asciiTheme="minorHAnsi" w:hAnsiTheme="minorHAnsi" w:cstheme="minorHAnsi"/>
            <w:lang w:val="en-US"/>
          </w:rPr>
          <w:t>https://doi.org/10.1146/annurev.nutr.27.061406.093819</w:t>
        </w:r>
      </w:hyperlink>
    </w:p>
    <w:p w14:paraId="36CC8E03"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14. </w:t>
      </w:r>
      <w:proofErr w:type="spellStart"/>
      <w:r w:rsidRPr="00495AC3">
        <w:rPr>
          <w:rFonts w:asciiTheme="minorHAnsi" w:hAnsiTheme="minorHAnsi" w:cstheme="minorHAnsi"/>
          <w:lang w:val="en-US"/>
        </w:rPr>
        <w:t>Kemnic</w:t>
      </w:r>
      <w:proofErr w:type="spellEnd"/>
      <w:r w:rsidRPr="00495AC3">
        <w:rPr>
          <w:rFonts w:asciiTheme="minorHAnsi" w:hAnsiTheme="minorHAnsi" w:cstheme="minorHAnsi"/>
          <w:lang w:val="en-US"/>
        </w:rPr>
        <w:t>, T. R., &amp; Coleman, M. (2023). Vitamin E deficiency. In </w:t>
      </w:r>
      <w:proofErr w:type="spellStart"/>
      <w:r w:rsidRPr="00495AC3">
        <w:rPr>
          <w:rFonts w:asciiTheme="minorHAnsi" w:hAnsiTheme="minorHAnsi" w:cstheme="minorHAnsi"/>
          <w:i/>
          <w:iCs/>
          <w:lang w:val="en-US"/>
        </w:rPr>
        <w:t>StatPearls</w:t>
      </w:r>
      <w:proofErr w:type="spellEnd"/>
      <w:r w:rsidRPr="00495AC3">
        <w:rPr>
          <w:rFonts w:asciiTheme="minorHAnsi" w:hAnsiTheme="minorHAnsi" w:cstheme="minorHAnsi"/>
          <w:i/>
          <w:iCs/>
          <w:lang w:val="en-US"/>
        </w:rPr>
        <w:t xml:space="preserve"> [Internet]</w:t>
      </w:r>
      <w:r w:rsidRPr="00495AC3">
        <w:rPr>
          <w:rFonts w:asciiTheme="minorHAnsi" w:hAnsiTheme="minorHAnsi" w:cstheme="minorHAnsi"/>
          <w:lang w:val="en-US"/>
        </w:rPr>
        <w:t xml:space="preserve">. </w:t>
      </w:r>
      <w:proofErr w:type="spellStart"/>
      <w:r w:rsidRPr="00495AC3">
        <w:rPr>
          <w:rFonts w:asciiTheme="minorHAnsi" w:hAnsiTheme="minorHAnsi" w:cstheme="minorHAnsi"/>
          <w:lang w:val="en-US"/>
        </w:rPr>
        <w:t>StatPearls</w:t>
      </w:r>
      <w:proofErr w:type="spellEnd"/>
      <w:r w:rsidRPr="00495AC3">
        <w:rPr>
          <w:rFonts w:asciiTheme="minorHAnsi" w:hAnsiTheme="minorHAnsi" w:cstheme="minorHAnsi"/>
          <w:lang w:val="en-US"/>
        </w:rPr>
        <w:t xml:space="preserve"> Publishing. </w:t>
      </w:r>
    </w:p>
    <w:p w14:paraId="6070E028"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15. Chiu, Y. C., &amp; Yang, W. L. (1992). Preparation of vitamin E microemulsion possessing high resistance to oxidation in air. </w:t>
      </w:r>
      <w:r w:rsidRPr="00495AC3">
        <w:rPr>
          <w:rFonts w:asciiTheme="minorHAnsi" w:hAnsiTheme="minorHAnsi" w:cstheme="minorHAnsi"/>
          <w:i/>
          <w:iCs/>
          <w:lang w:val="en-US"/>
        </w:rPr>
        <w:t>Colloids and surfaces</w:t>
      </w:r>
      <w:r w:rsidRPr="00495AC3">
        <w:rPr>
          <w:rFonts w:asciiTheme="minorHAnsi" w:hAnsiTheme="minorHAnsi" w:cstheme="minorHAnsi"/>
          <w:lang w:val="en-US"/>
        </w:rPr>
        <w:t>, </w:t>
      </w:r>
      <w:r w:rsidRPr="00495AC3">
        <w:rPr>
          <w:rFonts w:asciiTheme="minorHAnsi" w:hAnsiTheme="minorHAnsi" w:cstheme="minorHAnsi"/>
          <w:i/>
          <w:iCs/>
          <w:lang w:val="en-US"/>
        </w:rPr>
        <w:t>63</w:t>
      </w:r>
      <w:r w:rsidRPr="00495AC3">
        <w:rPr>
          <w:rFonts w:asciiTheme="minorHAnsi" w:hAnsiTheme="minorHAnsi" w:cstheme="minorHAnsi"/>
          <w:lang w:val="en-US"/>
        </w:rPr>
        <w:t xml:space="preserve">(3-4), 311-322. </w:t>
      </w:r>
      <w:hyperlink r:id="rId32" w:history="1">
        <w:r w:rsidRPr="00495AC3">
          <w:rPr>
            <w:rStyle w:val="Hipercze"/>
            <w:rFonts w:asciiTheme="minorHAnsi" w:hAnsiTheme="minorHAnsi" w:cstheme="minorHAnsi"/>
            <w:lang w:val="en-US"/>
          </w:rPr>
          <w:t>https://doi.org/10.1016/0166-6622(92)80253-X</w:t>
        </w:r>
      </w:hyperlink>
    </w:p>
    <w:p w14:paraId="65543AEA"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16. Kamal, M. A., &amp; Raghunathan, V. A. (2012). Modulated phases of phospholipid bilayers induced by tocopherols. </w:t>
      </w:r>
      <w:proofErr w:type="spellStart"/>
      <w:r w:rsidRPr="00495AC3">
        <w:rPr>
          <w:rFonts w:asciiTheme="minorHAnsi" w:hAnsiTheme="minorHAnsi" w:cstheme="minorHAnsi"/>
          <w:i/>
          <w:iCs/>
          <w:lang w:val="en-US"/>
        </w:rPr>
        <w:t>Biochimica</w:t>
      </w:r>
      <w:proofErr w:type="spellEnd"/>
      <w:r w:rsidRPr="00495AC3">
        <w:rPr>
          <w:rFonts w:asciiTheme="minorHAnsi" w:hAnsiTheme="minorHAnsi" w:cstheme="minorHAnsi"/>
          <w:i/>
          <w:iCs/>
          <w:lang w:val="en-US"/>
        </w:rPr>
        <w:t xml:space="preserve"> et </w:t>
      </w:r>
      <w:proofErr w:type="spellStart"/>
      <w:r w:rsidRPr="00495AC3">
        <w:rPr>
          <w:rFonts w:asciiTheme="minorHAnsi" w:hAnsiTheme="minorHAnsi" w:cstheme="minorHAnsi"/>
          <w:i/>
          <w:iCs/>
          <w:lang w:val="en-US"/>
        </w:rPr>
        <w:t>Biophysica</w:t>
      </w:r>
      <w:proofErr w:type="spellEnd"/>
      <w:r w:rsidRPr="00495AC3">
        <w:rPr>
          <w:rFonts w:asciiTheme="minorHAnsi" w:hAnsiTheme="minorHAnsi" w:cstheme="minorHAnsi"/>
          <w:i/>
          <w:iCs/>
          <w:lang w:val="en-US"/>
        </w:rPr>
        <w:t xml:space="preserve"> Acta (BBA)-</w:t>
      </w:r>
      <w:proofErr w:type="spellStart"/>
      <w:r w:rsidRPr="00495AC3">
        <w:rPr>
          <w:rFonts w:asciiTheme="minorHAnsi" w:hAnsiTheme="minorHAnsi" w:cstheme="minorHAnsi"/>
          <w:i/>
          <w:iCs/>
          <w:lang w:val="en-US"/>
        </w:rPr>
        <w:t>Biomembranes</w:t>
      </w:r>
      <w:proofErr w:type="spellEnd"/>
      <w:r w:rsidRPr="00495AC3">
        <w:rPr>
          <w:rFonts w:asciiTheme="minorHAnsi" w:hAnsiTheme="minorHAnsi" w:cstheme="minorHAnsi"/>
          <w:lang w:val="en-US"/>
        </w:rPr>
        <w:t>, </w:t>
      </w:r>
      <w:r w:rsidRPr="00495AC3">
        <w:rPr>
          <w:rFonts w:asciiTheme="minorHAnsi" w:hAnsiTheme="minorHAnsi" w:cstheme="minorHAnsi"/>
          <w:i/>
          <w:iCs/>
          <w:lang w:val="en-US"/>
        </w:rPr>
        <w:t>1818</w:t>
      </w:r>
      <w:r w:rsidRPr="00495AC3">
        <w:rPr>
          <w:rFonts w:asciiTheme="minorHAnsi" w:hAnsiTheme="minorHAnsi" w:cstheme="minorHAnsi"/>
          <w:lang w:val="en-US"/>
        </w:rPr>
        <w:t xml:space="preserve">(11), 2486-2493. </w:t>
      </w:r>
      <w:hyperlink r:id="rId33" w:history="1">
        <w:r w:rsidRPr="00495AC3">
          <w:rPr>
            <w:rStyle w:val="Hipercze"/>
            <w:rFonts w:asciiTheme="minorHAnsi" w:hAnsiTheme="minorHAnsi" w:cstheme="minorHAnsi"/>
            <w:lang w:val="en-US"/>
          </w:rPr>
          <w:t>https://doi.org/10.1016/j.bbamem.2012.06.016</w:t>
        </w:r>
      </w:hyperlink>
    </w:p>
    <w:p w14:paraId="6B6521C9"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17. Massey, J. B., She, H. S., &amp; Pownall, H. J. (1982). Interaction of vitamin E with saturated phospholipid bilayers. </w:t>
      </w:r>
      <w:r w:rsidRPr="00495AC3">
        <w:rPr>
          <w:rFonts w:asciiTheme="minorHAnsi" w:hAnsiTheme="minorHAnsi" w:cstheme="minorHAnsi"/>
          <w:i/>
          <w:iCs/>
          <w:lang w:val="en-US"/>
        </w:rPr>
        <w:t>Biochemical and biophysical research communications</w:t>
      </w:r>
      <w:r w:rsidRPr="00495AC3">
        <w:rPr>
          <w:rFonts w:asciiTheme="minorHAnsi" w:hAnsiTheme="minorHAnsi" w:cstheme="minorHAnsi"/>
          <w:lang w:val="en-US"/>
        </w:rPr>
        <w:t>, </w:t>
      </w:r>
      <w:r w:rsidRPr="00495AC3">
        <w:rPr>
          <w:rFonts w:asciiTheme="minorHAnsi" w:hAnsiTheme="minorHAnsi" w:cstheme="minorHAnsi"/>
          <w:i/>
          <w:iCs/>
          <w:lang w:val="en-US"/>
        </w:rPr>
        <w:t>106</w:t>
      </w:r>
      <w:r w:rsidRPr="00495AC3">
        <w:rPr>
          <w:rFonts w:asciiTheme="minorHAnsi" w:hAnsiTheme="minorHAnsi" w:cstheme="minorHAnsi"/>
          <w:lang w:val="en-US"/>
        </w:rPr>
        <w:t xml:space="preserve">(3), 842-847. </w:t>
      </w:r>
      <w:hyperlink r:id="rId34" w:history="1">
        <w:r w:rsidRPr="00495AC3">
          <w:rPr>
            <w:rStyle w:val="Hipercze"/>
            <w:rFonts w:asciiTheme="minorHAnsi" w:hAnsiTheme="minorHAnsi" w:cstheme="minorHAnsi"/>
            <w:lang w:val="en-US"/>
          </w:rPr>
          <w:t>https://doi.org/10.1016/0006-291X(82)91787-9</w:t>
        </w:r>
      </w:hyperlink>
    </w:p>
    <w:p w14:paraId="21CE02C0"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18. Beck, L. R., &amp; Landsberg, D. (2020). Lipoid pneumonia. PMID: 32119464</w:t>
      </w:r>
    </w:p>
    <w:p w14:paraId="774C346C"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19. Thota, D., &amp; Latham, E. (2014). Case report of electronic cigarettes possibly associated with eosinophilic pneumonitis in a previously healthy active-duty sailor. </w:t>
      </w:r>
      <w:r w:rsidRPr="00495AC3">
        <w:rPr>
          <w:rFonts w:asciiTheme="minorHAnsi" w:hAnsiTheme="minorHAnsi" w:cstheme="minorHAnsi"/>
          <w:i/>
          <w:iCs/>
          <w:lang w:val="en-US"/>
        </w:rPr>
        <w:t>The Journal of emergency medicine</w:t>
      </w:r>
      <w:r w:rsidRPr="00495AC3">
        <w:rPr>
          <w:rFonts w:asciiTheme="minorHAnsi" w:hAnsiTheme="minorHAnsi" w:cstheme="minorHAnsi"/>
          <w:lang w:val="en-US"/>
        </w:rPr>
        <w:t>, </w:t>
      </w:r>
      <w:r w:rsidRPr="00495AC3">
        <w:rPr>
          <w:rFonts w:asciiTheme="minorHAnsi" w:hAnsiTheme="minorHAnsi" w:cstheme="minorHAnsi"/>
          <w:i/>
          <w:iCs/>
          <w:lang w:val="en-US"/>
        </w:rPr>
        <w:t>47</w:t>
      </w:r>
      <w:r w:rsidRPr="00495AC3">
        <w:rPr>
          <w:rFonts w:asciiTheme="minorHAnsi" w:hAnsiTheme="minorHAnsi" w:cstheme="minorHAnsi"/>
          <w:lang w:val="en-US"/>
        </w:rPr>
        <w:t xml:space="preserve">(1), 15-17. </w:t>
      </w:r>
      <w:hyperlink r:id="rId35" w:history="1">
        <w:r w:rsidRPr="00495AC3">
          <w:rPr>
            <w:rStyle w:val="Hipercze"/>
            <w:rFonts w:asciiTheme="minorHAnsi" w:hAnsiTheme="minorHAnsi" w:cstheme="minorHAnsi"/>
            <w:lang w:val="en-US"/>
          </w:rPr>
          <w:t>https://doi.org/10.1016/j.jemermed.2013.09.034</w:t>
        </w:r>
      </w:hyperlink>
    </w:p>
    <w:p w14:paraId="418407AC"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20. Flower, M., Nandakumar, L., Singh, M., Wyld, D., Windsor, M., &amp; Fielding, D. (2017). Respiratory bronchiolitis‐associated interstitial lung disease secondary to electronic nicotine delivery system use confirmed with open lung biopsy. </w:t>
      </w:r>
      <w:r w:rsidRPr="00495AC3">
        <w:rPr>
          <w:rFonts w:asciiTheme="minorHAnsi" w:hAnsiTheme="minorHAnsi" w:cstheme="minorHAnsi"/>
          <w:i/>
          <w:iCs/>
          <w:lang w:val="en-US"/>
        </w:rPr>
        <w:t>Respirology case reports</w:t>
      </w:r>
      <w:r w:rsidRPr="00495AC3">
        <w:rPr>
          <w:rFonts w:asciiTheme="minorHAnsi" w:hAnsiTheme="minorHAnsi" w:cstheme="minorHAnsi"/>
          <w:lang w:val="en-US"/>
        </w:rPr>
        <w:t>, </w:t>
      </w:r>
      <w:r w:rsidRPr="00495AC3">
        <w:rPr>
          <w:rFonts w:asciiTheme="minorHAnsi" w:hAnsiTheme="minorHAnsi" w:cstheme="minorHAnsi"/>
          <w:i/>
          <w:iCs/>
          <w:lang w:val="en-US"/>
        </w:rPr>
        <w:t>5</w:t>
      </w:r>
      <w:r w:rsidRPr="00495AC3">
        <w:rPr>
          <w:rFonts w:asciiTheme="minorHAnsi" w:hAnsiTheme="minorHAnsi" w:cstheme="minorHAnsi"/>
          <w:lang w:val="en-US"/>
        </w:rPr>
        <w:t xml:space="preserve">(3), e00230. </w:t>
      </w:r>
      <w:hyperlink r:id="rId36" w:history="1">
        <w:r w:rsidRPr="00495AC3">
          <w:rPr>
            <w:rStyle w:val="Hipercze"/>
            <w:rFonts w:asciiTheme="minorHAnsi" w:hAnsiTheme="minorHAnsi" w:cstheme="minorHAnsi"/>
            <w:lang w:val="en-US"/>
          </w:rPr>
          <w:t>https://doi.org/10.1002/rcr2.230</w:t>
        </w:r>
      </w:hyperlink>
    </w:p>
    <w:p w14:paraId="012735AB"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21. Wu, D., &amp; O’Shea, D. F. (2020). Potential for release of pulmonary toxic ketene from vaping pyrolysis of vitamin E acetate. </w:t>
      </w:r>
      <w:r w:rsidRPr="00495AC3">
        <w:rPr>
          <w:rFonts w:asciiTheme="minorHAnsi" w:hAnsiTheme="minorHAnsi" w:cstheme="minorHAnsi"/>
          <w:i/>
          <w:iCs/>
          <w:lang w:val="en-US"/>
        </w:rPr>
        <w:t>Proceedings of the National Academy of Sciences</w:t>
      </w:r>
      <w:r w:rsidRPr="00495AC3">
        <w:rPr>
          <w:rFonts w:asciiTheme="minorHAnsi" w:hAnsiTheme="minorHAnsi" w:cstheme="minorHAnsi"/>
          <w:lang w:val="en-US"/>
        </w:rPr>
        <w:t>, </w:t>
      </w:r>
      <w:r w:rsidRPr="00495AC3">
        <w:rPr>
          <w:rFonts w:asciiTheme="minorHAnsi" w:hAnsiTheme="minorHAnsi" w:cstheme="minorHAnsi"/>
          <w:i/>
          <w:iCs/>
          <w:lang w:val="en-US"/>
        </w:rPr>
        <w:t>117</w:t>
      </w:r>
      <w:r w:rsidRPr="00495AC3">
        <w:rPr>
          <w:rFonts w:asciiTheme="minorHAnsi" w:hAnsiTheme="minorHAnsi" w:cstheme="minorHAnsi"/>
          <w:lang w:val="en-US"/>
        </w:rPr>
        <w:t xml:space="preserve">(12), 6349-6355. </w:t>
      </w:r>
      <w:hyperlink r:id="rId37" w:history="1">
        <w:r w:rsidRPr="00495AC3">
          <w:rPr>
            <w:rStyle w:val="Hipercze"/>
            <w:rFonts w:asciiTheme="minorHAnsi" w:hAnsiTheme="minorHAnsi" w:cstheme="minorHAnsi"/>
            <w:lang w:val="en-US"/>
          </w:rPr>
          <w:t>https://doi.org/10.1073/pnas.1920925117</w:t>
        </w:r>
      </w:hyperlink>
    </w:p>
    <w:p w14:paraId="58428EFA"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 xml:space="preserve">22. Hwang, J. H., </w:t>
      </w:r>
      <w:proofErr w:type="spellStart"/>
      <w:r w:rsidRPr="00495AC3">
        <w:rPr>
          <w:rFonts w:asciiTheme="minorHAnsi" w:hAnsiTheme="minorHAnsi" w:cstheme="minorHAnsi"/>
          <w:lang w:val="en-US"/>
        </w:rPr>
        <w:t>Lyes</w:t>
      </w:r>
      <w:proofErr w:type="spellEnd"/>
      <w:r w:rsidRPr="00495AC3">
        <w:rPr>
          <w:rFonts w:asciiTheme="minorHAnsi" w:hAnsiTheme="minorHAnsi" w:cstheme="minorHAnsi"/>
          <w:lang w:val="en-US"/>
        </w:rPr>
        <w:t xml:space="preserve">, M., </w:t>
      </w:r>
      <w:proofErr w:type="spellStart"/>
      <w:r w:rsidRPr="00495AC3">
        <w:rPr>
          <w:rFonts w:asciiTheme="minorHAnsi" w:hAnsiTheme="minorHAnsi" w:cstheme="minorHAnsi"/>
          <w:lang w:val="en-US"/>
        </w:rPr>
        <w:t>Sladewski</w:t>
      </w:r>
      <w:proofErr w:type="spellEnd"/>
      <w:r w:rsidRPr="00495AC3">
        <w:rPr>
          <w:rFonts w:asciiTheme="minorHAnsi" w:hAnsiTheme="minorHAnsi" w:cstheme="minorHAnsi"/>
          <w:lang w:val="en-US"/>
        </w:rPr>
        <w:t xml:space="preserve">, K., </w:t>
      </w:r>
      <w:proofErr w:type="spellStart"/>
      <w:r w:rsidRPr="00495AC3">
        <w:rPr>
          <w:rFonts w:asciiTheme="minorHAnsi" w:hAnsiTheme="minorHAnsi" w:cstheme="minorHAnsi"/>
          <w:lang w:val="en-US"/>
        </w:rPr>
        <w:t>Enany</w:t>
      </w:r>
      <w:proofErr w:type="spellEnd"/>
      <w:r w:rsidRPr="00495AC3">
        <w:rPr>
          <w:rFonts w:asciiTheme="minorHAnsi" w:hAnsiTheme="minorHAnsi" w:cstheme="minorHAnsi"/>
          <w:lang w:val="en-US"/>
        </w:rPr>
        <w:t xml:space="preserve">, S., McEachern, E., Mathew, D. P., ... &amp; Crotty Alexander, L. E. (2016). Electronic cigarette inhalation alters innate immunity and airway cytokines while increasing the virulence of colonizing bacteria. Journal of molecular medicine, 94, 667-679. </w:t>
      </w:r>
      <w:hyperlink r:id="rId38" w:history="1">
        <w:r w:rsidRPr="00495AC3">
          <w:rPr>
            <w:rStyle w:val="Hipercze"/>
            <w:rFonts w:asciiTheme="minorHAnsi" w:hAnsiTheme="minorHAnsi" w:cstheme="minorHAnsi"/>
            <w:lang w:val="en-US"/>
          </w:rPr>
          <w:t>https://doi.org/10.1007/s00109-016-1378-3</w:t>
        </w:r>
      </w:hyperlink>
    </w:p>
    <w:p w14:paraId="0C73ECF5" w14:textId="77777777" w:rsidR="00495AC3" w:rsidRPr="00AD2DC7"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lastRenderedPageBreak/>
        <w:t xml:space="preserve">23. Madison, M. C., Landers, C. T., Gu, B. H., Chang, C. Y., Tung, H. Y., You, R., ... </w:t>
      </w:r>
      <w:r w:rsidRPr="00AD2DC7">
        <w:rPr>
          <w:rFonts w:asciiTheme="minorHAnsi" w:hAnsiTheme="minorHAnsi" w:cstheme="minorHAnsi"/>
          <w:lang w:val="en-US"/>
        </w:rPr>
        <w:t xml:space="preserve">&amp; </w:t>
      </w:r>
      <w:proofErr w:type="spellStart"/>
      <w:r w:rsidRPr="00AD2DC7">
        <w:rPr>
          <w:rFonts w:asciiTheme="minorHAnsi" w:hAnsiTheme="minorHAnsi" w:cstheme="minorHAnsi"/>
          <w:lang w:val="en-US"/>
        </w:rPr>
        <w:t>Kheradmand</w:t>
      </w:r>
      <w:proofErr w:type="spellEnd"/>
      <w:r w:rsidRPr="00AD2DC7">
        <w:rPr>
          <w:rFonts w:asciiTheme="minorHAnsi" w:hAnsiTheme="minorHAnsi" w:cstheme="minorHAnsi"/>
          <w:lang w:val="en-US"/>
        </w:rPr>
        <w:t>, F. (2020). Electronic cigarettes disrupt lung lipid homeostasis and innate immunity independent of nicotine. </w:t>
      </w:r>
      <w:r w:rsidRPr="00AD2DC7">
        <w:rPr>
          <w:rFonts w:asciiTheme="minorHAnsi" w:hAnsiTheme="minorHAnsi" w:cstheme="minorHAnsi"/>
          <w:i/>
          <w:iCs/>
          <w:lang w:val="en-US"/>
        </w:rPr>
        <w:t>The Journal of clinical investigation</w:t>
      </w:r>
      <w:r w:rsidRPr="00AD2DC7">
        <w:rPr>
          <w:rFonts w:asciiTheme="minorHAnsi" w:hAnsiTheme="minorHAnsi" w:cstheme="minorHAnsi"/>
          <w:lang w:val="en-US"/>
        </w:rPr>
        <w:t>, </w:t>
      </w:r>
      <w:r w:rsidRPr="00AD2DC7">
        <w:rPr>
          <w:rFonts w:asciiTheme="minorHAnsi" w:hAnsiTheme="minorHAnsi" w:cstheme="minorHAnsi"/>
          <w:i/>
          <w:iCs/>
          <w:lang w:val="en-US"/>
        </w:rPr>
        <w:t>129</w:t>
      </w:r>
      <w:r w:rsidRPr="00AD2DC7">
        <w:rPr>
          <w:rFonts w:asciiTheme="minorHAnsi" w:hAnsiTheme="minorHAnsi" w:cstheme="minorHAnsi"/>
          <w:lang w:val="en-US"/>
        </w:rPr>
        <w:t xml:space="preserve">(10), 4290-4304. </w:t>
      </w:r>
      <w:hyperlink r:id="rId39" w:history="1">
        <w:r w:rsidRPr="00AD2DC7">
          <w:rPr>
            <w:rStyle w:val="Hipercze"/>
            <w:rFonts w:asciiTheme="minorHAnsi" w:hAnsiTheme="minorHAnsi" w:cstheme="minorHAnsi"/>
            <w:lang w:val="en-US"/>
          </w:rPr>
          <w:t>https://doi.org/10.1172/JCI128531</w:t>
        </w:r>
      </w:hyperlink>
    </w:p>
    <w:p w14:paraId="565633AA" w14:textId="77777777" w:rsidR="00495AC3" w:rsidRPr="00AD2DC7" w:rsidRDefault="00495AC3" w:rsidP="00495AC3">
      <w:pPr>
        <w:spacing w:line="360" w:lineRule="auto"/>
        <w:jc w:val="both"/>
        <w:rPr>
          <w:rFonts w:asciiTheme="minorHAnsi" w:hAnsiTheme="minorHAnsi" w:cstheme="minorHAnsi"/>
          <w:lang w:val="en-US"/>
        </w:rPr>
      </w:pPr>
      <w:r w:rsidRPr="00AD2DC7">
        <w:rPr>
          <w:rFonts w:asciiTheme="minorHAnsi" w:hAnsiTheme="minorHAnsi" w:cstheme="minorHAnsi"/>
          <w:lang w:val="en-US"/>
        </w:rPr>
        <w:t>24. Siegel, D. A. (2019). Update: interim guidance for health care providers evaluating and caring for patients with suspected e-cigarette, or vaping, product use associated lung injury—United States, October 2019. </w:t>
      </w:r>
      <w:r w:rsidRPr="00AD2DC7">
        <w:rPr>
          <w:rFonts w:asciiTheme="minorHAnsi" w:hAnsiTheme="minorHAnsi" w:cstheme="minorHAnsi"/>
          <w:i/>
          <w:iCs/>
          <w:lang w:val="en-US"/>
        </w:rPr>
        <w:t>MMWR. Morbidity and mortality weekly report</w:t>
      </w:r>
      <w:r w:rsidRPr="00AD2DC7">
        <w:rPr>
          <w:rFonts w:asciiTheme="minorHAnsi" w:hAnsiTheme="minorHAnsi" w:cstheme="minorHAnsi"/>
          <w:lang w:val="en-US"/>
        </w:rPr>
        <w:t>, </w:t>
      </w:r>
      <w:r w:rsidRPr="00AD2DC7">
        <w:rPr>
          <w:rFonts w:asciiTheme="minorHAnsi" w:hAnsiTheme="minorHAnsi" w:cstheme="minorHAnsi"/>
          <w:i/>
          <w:iCs/>
          <w:lang w:val="en-US"/>
        </w:rPr>
        <w:t>68</w:t>
      </w:r>
      <w:r w:rsidRPr="00AD2DC7">
        <w:rPr>
          <w:rFonts w:asciiTheme="minorHAnsi" w:hAnsiTheme="minorHAnsi" w:cstheme="minorHAnsi"/>
          <w:lang w:val="en-US"/>
        </w:rPr>
        <w:t xml:space="preserve">. </w:t>
      </w:r>
      <w:hyperlink r:id="rId40" w:history="1">
        <w:r w:rsidRPr="00AD2DC7">
          <w:rPr>
            <w:rStyle w:val="Hipercze"/>
            <w:rFonts w:asciiTheme="minorHAnsi" w:hAnsiTheme="minorHAnsi" w:cstheme="minorHAnsi"/>
            <w:lang w:val="en-US"/>
          </w:rPr>
          <w:t>http://dx.doi.org/10.15585/mmwr.mm6841e3</w:t>
        </w:r>
      </w:hyperlink>
    </w:p>
    <w:p w14:paraId="4408F798" w14:textId="77777777" w:rsidR="00495AC3" w:rsidRPr="00AD2DC7" w:rsidRDefault="00495AC3" w:rsidP="00495AC3">
      <w:pPr>
        <w:spacing w:line="360" w:lineRule="auto"/>
        <w:jc w:val="both"/>
        <w:rPr>
          <w:rFonts w:asciiTheme="minorHAnsi" w:hAnsiTheme="minorHAnsi" w:cstheme="minorHAnsi"/>
          <w:lang w:val="en-US"/>
        </w:rPr>
      </w:pPr>
      <w:r w:rsidRPr="00AD2DC7">
        <w:rPr>
          <w:rFonts w:asciiTheme="minorHAnsi" w:hAnsiTheme="minorHAnsi" w:cstheme="minorHAnsi"/>
          <w:lang w:val="en-US"/>
        </w:rPr>
        <w:t xml:space="preserve">25. Layden, J. E., </w:t>
      </w:r>
      <w:proofErr w:type="spellStart"/>
      <w:r w:rsidRPr="00AD2DC7">
        <w:rPr>
          <w:rFonts w:asciiTheme="minorHAnsi" w:hAnsiTheme="minorHAnsi" w:cstheme="minorHAnsi"/>
          <w:lang w:val="en-US"/>
        </w:rPr>
        <w:t>Ghinai</w:t>
      </w:r>
      <w:proofErr w:type="spellEnd"/>
      <w:r w:rsidRPr="00AD2DC7">
        <w:rPr>
          <w:rFonts w:asciiTheme="minorHAnsi" w:hAnsiTheme="minorHAnsi" w:cstheme="minorHAnsi"/>
          <w:lang w:val="en-US"/>
        </w:rPr>
        <w:t xml:space="preserve">, I., Pray, I., Kimball, A., Layer, M., </w:t>
      </w:r>
      <w:proofErr w:type="spellStart"/>
      <w:r w:rsidRPr="00AD2DC7">
        <w:rPr>
          <w:rFonts w:asciiTheme="minorHAnsi" w:hAnsiTheme="minorHAnsi" w:cstheme="minorHAnsi"/>
          <w:lang w:val="en-US"/>
        </w:rPr>
        <w:t>Tenforde</w:t>
      </w:r>
      <w:proofErr w:type="spellEnd"/>
      <w:r w:rsidRPr="00AD2DC7">
        <w:rPr>
          <w:rFonts w:asciiTheme="minorHAnsi" w:hAnsiTheme="minorHAnsi" w:cstheme="minorHAnsi"/>
          <w:lang w:val="en-US"/>
        </w:rPr>
        <w:t xml:space="preserve">, M. W., ... &amp; </w:t>
      </w:r>
      <w:proofErr w:type="spellStart"/>
      <w:r w:rsidRPr="00AD2DC7">
        <w:rPr>
          <w:rFonts w:asciiTheme="minorHAnsi" w:hAnsiTheme="minorHAnsi" w:cstheme="minorHAnsi"/>
          <w:lang w:val="en-US"/>
        </w:rPr>
        <w:t>Meiman</w:t>
      </w:r>
      <w:proofErr w:type="spellEnd"/>
      <w:r w:rsidRPr="00AD2DC7">
        <w:rPr>
          <w:rFonts w:asciiTheme="minorHAnsi" w:hAnsiTheme="minorHAnsi" w:cstheme="minorHAnsi"/>
          <w:lang w:val="en-US"/>
        </w:rPr>
        <w:t>, J. (2020). Pulmonary illness related to e-cigarette use in Illinois and Wisconsin. </w:t>
      </w:r>
      <w:r w:rsidRPr="00AD2DC7">
        <w:rPr>
          <w:rFonts w:asciiTheme="minorHAnsi" w:hAnsiTheme="minorHAnsi" w:cstheme="minorHAnsi"/>
          <w:i/>
          <w:iCs/>
          <w:lang w:val="en-US"/>
        </w:rPr>
        <w:t>New England journal of medicine</w:t>
      </w:r>
      <w:r w:rsidRPr="00AD2DC7">
        <w:rPr>
          <w:rFonts w:asciiTheme="minorHAnsi" w:hAnsiTheme="minorHAnsi" w:cstheme="minorHAnsi"/>
          <w:lang w:val="en-US"/>
        </w:rPr>
        <w:t>, </w:t>
      </w:r>
      <w:r w:rsidRPr="00AD2DC7">
        <w:rPr>
          <w:rFonts w:asciiTheme="minorHAnsi" w:hAnsiTheme="minorHAnsi" w:cstheme="minorHAnsi"/>
          <w:i/>
          <w:iCs/>
          <w:lang w:val="en-US"/>
        </w:rPr>
        <w:t>382</w:t>
      </w:r>
      <w:r w:rsidRPr="00AD2DC7">
        <w:rPr>
          <w:rFonts w:asciiTheme="minorHAnsi" w:hAnsiTheme="minorHAnsi" w:cstheme="minorHAnsi"/>
          <w:lang w:val="en-US"/>
        </w:rPr>
        <w:t>(10), 903-916. DOI: 10.1056/NEJMoa1911614</w:t>
      </w:r>
    </w:p>
    <w:p w14:paraId="270F5F35" w14:textId="77777777" w:rsidR="00495AC3" w:rsidRPr="00AD2DC7" w:rsidRDefault="00495AC3" w:rsidP="00495AC3">
      <w:pPr>
        <w:spacing w:line="360" w:lineRule="auto"/>
        <w:jc w:val="both"/>
        <w:rPr>
          <w:rFonts w:asciiTheme="minorHAnsi" w:hAnsiTheme="minorHAnsi" w:cstheme="minorHAnsi"/>
          <w:lang w:val="en-US"/>
        </w:rPr>
      </w:pPr>
      <w:r w:rsidRPr="00AD2DC7">
        <w:rPr>
          <w:rFonts w:asciiTheme="minorHAnsi" w:hAnsiTheme="minorHAnsi" w:cstheme="minorHAnsi"/>
          <w:lang w:val="en-US"/>
        </w:rPr>
        <w:t>26. Sreedharan, S., Mian, M., Robertson, R. A., &amp; Rhodes, A. (2021). Radiological findings of e-cigarette or vaping product use associated lung injury: A systematic review. </w:t>
      </w:r>
      <w:r w:rsidRPr="00AD2DC7">
        <w:rPr>
          <w:rFonts w:asciiTheme="minorHAnsi" w:hAnsiTheme="minorHAnsi" w:cstheme="minorHAnsi"/>
          <w:i/>
          <w:iCs/>
          <w:lang w:val="en-US"/>
        </w:rPr>
        <w:t>Heart &amp; Lung</w:t>
      </w:r>
      <w:r w:rsidRPr="00AD2DC7">
        <w:rPr>
          <w:rFonts w:asciiTheme="minorHAnsi" w:hAnsiTheme="minorHAnsi" w:cstheme="minorHAnsi"/>
          <w:lang w:val="en-US"/>
        </w:rPr>
        <w:t>, </w:t>
      </w:r>
      <w:r w:rsidRPr="00AD2DC7">
        <w:rPr>
          <w:rFonts w:asciiTheme="minorHAnsi" w:hAnsiTheme="minorHAnsi" w:cstheme="minorHAnsi"/>
          <w:i/>
          <w:iCs/>
          <w:lang w:val="en-US"/>
        </w:rPr>
        <w:t>50</w:t>
      </w:r>
      <w:r w:rsidRPr="00AD2DC7">
        <w:rPr>
          <w:rFonts w:asciiTheme="minorHAnsi" w:hAnsiTheme="minorHAnsi" w:cstheme="minorHAnsi"/>
          <w:lang w:val="en-US"/>
        </w:rPr>
        <w:t xml:space="preserve">(5), 736-741. </w:t>
      </w:r>
      <w:hyperlink r:id="rId41" w:history="1">
        <w:r w:rsidRPr="00AD2DC7">
          <w:rPr>
            <w:rStyle w:val="Hipercze"/>
            <w:rFonts w:asciiTheme="minorHAnsi" w:hAnsiTheme="minorHAnsi" w:cstheme="minorHAnsi"/>
            <w:lang w:val="en-US"/>
          </w:rPr>
          <w:t>https://doi.org/10.1016/j.hrtlng.2021.05.004</w:t>
        </w:r>
      </w:hyperlink>
    </w:p>
    <w:p w14:paraId="13C437B1" w14:textId="77777777" w:rsidR="00495AC3" w:rsidRPr="00AD2DC7" w:rsidRDefault="00495AC3" w:rsidP="00495AC3">
      <w:pPr>
        <w:spacing w:line="360" w:lineRule="auto"/>
        <w:jc w:val="both"/>
        <w:rPr>
          <w:rFonts w:asciiTheme="minorHAnsi" w:hAnsiTheme="minorHAnsi" w:cstheme="minorHAnsi"/>
          <w:lang w:val="en-US"/>
        </w:rPr>
      </w:pPr>
      <w:r w:rsidRPr="00AD2DC7">
        <w:rPr>
          <w:rFonts w:asciiTheme="minorHAnsi" w:hAnsiTheme="minorHAnsi" w:cstheme="minorHAnsi"/>
          <w:lang w:val="en-US"/>
        </w:rPr>
        <w:t>27. Davidson, K. (2019). Outbreak of electronic-cigarette–associated acute lipoid pneumonia—North Carolina, July–August 2019. </w:t>
      </w:r>
      <w:r w:rsidRPr="00AD2DC7">
        <w:rPr>
          <w:rFonts w:asciiTheme="minorHAnsi" w:hAnsiTheme="minorHAnsi" w:cstheme="minorHAnsi"/>
          <w:i/>
          <w:iCs/>
          <w:lang w:val="en-US"/>
        </w:rPr>
        <w:t>MMWR. Morbidity and mortality weekly report</w:t>
      </w:r>
      <w:r w:rsidRPr="00AD2DC7">
        <w:rPr>
          <w:rFonts w:asciiTheme="minorHAnsi" w:hAnsiTheme="minorHAnsi" w:cstheme="minorHAnsi"/>
          <w:lang w:val="en-US"/>
        </w:rPr>
        <w:t>, </w:t>
      </w:r>
      <w:r w:rsidRPr="00AD2DC7">
        <w:rPr>
          <w:rFonts w:asciiTheme="minorHAnsi" w:hAnsiTheme="minorHAnsi" w:cstheme="minorHAnsi"/>
          <w:i/>
          <w:iCs/>
          <w:lang w:val="en-US"/>
        </w:rPr>
        <w:t>68</w:t>
      </w:r>
      <w:r w:rsidRPr="00AD2DC7">
        <w:rPr>
          <w:rFonts w:asciiTheme="minorHAnsi" w:hAnsiTheme="minorHAnsi" w:cstheme="minorHAnsi"/>
          <w:lang w:val="en-US"/>
        </w:rPr>
        <w:t xml:space="preserve">. </w:t>
      </w:r>
      <w:hyperlink r:id="rId42" w:history="1">
        <w:r w:rsidRPr="00AD2DC7">
          <w:rPr>
            <w:rStyle w:val="Hipercze"/>
            <w:rFonts w:asciiTheme="minorHAnsi" w:hAnsiTheme="minorHAnsi" w:cstheme="minorHAnsi"/>
            <w:lang w:val="en-US"/>
          </w:rPr>
          <w:t>http://dx.doi.org/10.15585/mmwr.mm6836e1</w:t>
        </w:r>
      </w:hyperlink>
    </w:p>
    <w:p w14:paraId="6999470F" w14:textId="77777777" w:rsidR="00495AC3" w:rsidRPr="00AD2DC7" w:rsidRDefault="00495AC3" w:rsidP="00495AC3">
      <w:pPr>
        <w:spacing w:line="360" w:lineRule="auto"/>
        <w:jc w:val="both"/>
        <w:rPr>
          <w:rFonts w:asciiTheme="minorHAnsi" w:hAnsiTheme="minorHAnsi" w:cstheme="minorHAnsi"/>
          <w:lang w:val="en-US"/>
        </w:rPr>
      </w:pPr>
      <w:r w:rsidRPr="00AD2DC7">
        <w:rPr>
          <w:rFonts w:asciiTheme="minorHAnsi" w:hAnsiTheme="minorHAnsi" w:cstheme="minorHAnsi"/>
          <w:lang w:val="en-US"/>
        </w:rPr>
        <w:t xml:space="preserve">28. </w:t>
      </w:r>
      <w:proofErr w:type="spellStart"/>
      <w:r w:rsidRPr="00AD2DC7">
        <w:rPr>
          <w:rFonts w:asciiTheme="minorHAnsi" w:hAnsiTheme="minorHAnsi" w:cstheme="minorHAnsi"/>
          <w:lang w:val="en-US"/>
        </w:rPr>
        <w:t>Blagev</w:t>
      </w:r>
      <w:proofErr w:type="spellEnd"/>
      <w:r w:rsidRPr="00AD2DC7">
        <w:rPr>
          <w:rFonts w:asciiTheme="minorHAnsi" w:hAnsiTheme="minorHAnsi" w:cstheme="minorHAnsi"/>
          <w:lang w:val="en-US"/>
        </w:rPr>
        <w:t xml:space="preserve">, D. P., Harris, D., Dunn, A. C., Guidry, D. W., Grissom, C. K., &amp; </w:t>
      </w:r>
      <w:proofErr w:type="spellStart"/>
      <w:r w:rsidRPr="00AD2DC7">
        <w:rPr>
          <w:rFonts w:asciiTheme="minorHAnsi" w:hAnsiTheme="minorHAnsi" w:cstheme="minorHAnsi"/>
          <w:lang w:val="en-US"/>
        </w:rPr>
        <w:t>Lanspa</w:t>
      </w:r>
      <w:proofErr w:type="spellEnd"/>
      <w:r w:rsidRPr="00AD2DC7">
        <w:rPr>
          <w:rFonts w:asciiTheme="minorHAnsi" w:hAnsiTheme="minorHAnsi" w:cstheme="minorHAnsi"/>
          <w:lang w:val="en-US"/>
        </w:rPr>
        <w:t>, M. J. (2019). Clinical presentation, treatment, and short-term outcomes of lung injury associated with e-cigarettes or vaping: a prospective observational cohort study. </w:t>
      </w:r>
      <w:r w:rsidRPr="00AD2DC7">
        <w:rPr>
          <w:rFonts w:asciiTheme="minorHAnsi" w:hAnsiTheme="minorHAnsi" w:cstheme="minorHAnsi"/>
          <w:i/>
          <w:iCs/>
          <w:lang w:val="en-US"/>
        </w:rPr>
        <w:t>The Lancet</w:t>
      </w:r>
      <w:r w:rsidRPr="00AD2DC7">
        <w:rPr>
          <w:rFonts w:asciiTheme="minorHAnsi" w:hAnsiTheme="minorHAnsi" w:cstheme="minorHAnsi"/>
          <w:lang w:val="en-US"/>
        </w:rPr>
        <w:t>, </w:t>
      </w:r>
      <w:r w:rsidRPr="00AD2DC7">
        <w:rPr>
          <w:rFonts w:asciiTheme="minorHAnsi" w:hAnsiTheme="minorHAnsi" w:cstheme="minorHAnsi"/>
          <w:i/>
          <w:iCs/>
          <w:lang w:val="en-US"/>
        </w:rPr>
        <w:t>394</w:t>
      </w:r>
      <w:r w:rsidRPr="00AD2DC7">
        <w:rPr>
          <w:rFonts w:asciiTheme="minorHAnsi" w:hAnsiTheme="minorHAnsi" w:cstheme="minorHAnsi"/>
          <w:lang w:val="en-US"/>
        </w:rPr>
        <w:t xml:space="preserve">(10214), 2073-2083. </w:t>
      </w:r>
      <w:hyperlink r:id="rId43" w:history="1">
        <w:r w:rsidRPr="00AD2DC7">
          <w:rPr>
            <w:rStyle w:val="Hipercze"/>
            <w:rFonts w:asciiTheme="minorHAnsi" w:hAnsiTheme="minorHAnsi" w:cstheme="minorHAnsi"/>
            <w:lang w:val="en-US"/>
          </w:rPr>
          <w:t>https://doi.org/10.1016/S0140-6736(19)32679-0</w:t>
        </w:r>
      </w:hyperlink>
    </w:p>
    <w:p w14:paraId="3847E869" w14:textId="77777777" w:rsidR="00495AC3" w:rsidRPr="00AD2DC7" w:rsidRDefault="00495AC3" w:rsidP="00495AC3">
      <w:pPr>
        <w:spacing w:line="360" w:lineRule="auto"/>
        <w:jc w:val="both"/>
        <w:rPr>
          <w:rFonts w:asciiTheme="minorHAnsi" w:hAnsiTheme="minorHAnsi" w:cstheme="minorHAnsi"/>
          <w:lang w:val="en-US"/>
        </w:rPr>
      </w:pPr>
      <w:r w:rsidRPr="00AD2DC7">
        <w:rPr>
          <w:rFonts w:asciiTheme="minorHAnsi" w:hAnsiTheme="minorHAnsi" w:cstheme="minorHAnsi"/>
          <w:lang w:val="en-US"/>
        </w:rPr>
        <w:t>29. Li, X., Xu, S., Yu, M., Wang, K., Tao, Y., Zhou, Y., ... &amp; Zhao, J. (2020). Risk factors for severity and mortality in adult COVID-19 inpatients in Wuhan. </w:t>
      </w:r>
      <w:r w:rsidRPr="00AD2DC7">
        <w:rPr>
          <w:rFonts w:asciiTheme="minorHAnsi" w:hAnsiTheme="minorHAnsi" w:cstheme="minorHAnsi"/>
          <w:i/>
          <w:iCs/>
          <w:lang w:val="en-US"/>
        </w:rPr>
        <w:t>Journal of Allergy and Clinical Immunology</w:t>
      </w:r>
      <w:r w:rsidRPr="00AD2DC7">
        <w:rPr>
          <w:rFonts w:asciiTheme="minorHAnsi" w:hAnsiTheme="minorHAnsi" w:cstheme="minorHAnsi"/>
          <w:lang w:val="en-US"/>
        </w:rPr>
        <w:t>, </w:t>
      </w:r>
      <w:r w:rsidRPr="00AD2DC7">
        <w:rPr>
          <w:rFonts w:asciiTheme="minorHAnsi" w:hAnsiTheme="minorHAnsi" w:cstheme="minorHAnsi"/>
          <w:i/>
          <w:iCs/>
          <w:lang w:val="en-US"/>
        </w:rPr>
        <w:t>146</w:t>
      </w:r>
      <w:r w:rsidRPr="00AD2DC7">
        <w:rPr>
          <w:rFonts w:asciiTheme="minorHAnsi" w:hAnsiTheme="minorHAnsi" w:cstheme="minorHAnsi"/>
          <w:lang w:val="en-US"/>
        </w:rPr>
        <w:t xml:space="preserve">(1), 110-118. </w:t>
      </w:r>
      <w:hyperlink r:id="rId44" w:history="1">
        <w:r w:rsidRPr="00AD2DC7">
          <w:rPr>
            <w:rStyle w:val="Hipercze"/>
            <w:rFonts w:asciiTheme="minorHAnsi" w:hAnsiTheme="minorHAnsi" w:cstheme="minorHAnsi"/>
            <w:lang w:val="en-US"/>
          </w:rPr>
          <w:t>https://doi.org/10.1016/j.jaci.2020.04.006</w:t>
        </w:r>
      </w:hyperlink>
    </w:p>
    <w:p w14:paraId="39ABD571" w14:textId="77777777" w:rsidR="00495AC3" w:rsidRPr="00495AC3" w:rsidRDefault="00495AC3" w:rsidP="00495AC3">
      <w:pPr>
        <w:spacing w:line="360" w:lineRule="auto"/>
        <w:jc w:val="both"/>
        <w:rPr>
          <w:rFonts w:asciiTheme="minorHAnsi" w:hAnsiTheme="minorHAnsi" w:cstheme="minorHAnsi"/>
        </w:rPr>
      </w:pPr>
      <w:r w:rsidRPr="00AD2DC7">
        <w:rPr>
          <w:rFonts w:asciiTheme="minorHAnsi" w:hAnsiTheme="minorHAnsi" w:cstheme="minorHAnsi"/>
          <w:lang w:val="en-US"/>
        </w:rPr>
        <w:t>30. Lansbury, L. E., Rodrigo, C., Leonardi-Bee, J., Nguyen-Van-Tam, J., &amp; Lim, W. S. (2020). Corticosteroids as adjunctive therapy in the treatment of influenza: an updated Cochrane systematic review and meta-analysis. </w:t>
      </w:r>
      <w:r w:rsidRPr="00495AC3">
        <w:rPr>
          <w:rFonts w:asciiTheme="minorHAnsi" w:hAnsiTheme="minorHAnsi" w:cstheme="minorHAnsi"/>
          <w:i/>
          <w:iCs/>
        </w:rPr>
        <w:t xml:space="preserve">Critical </w:t>
      </w:r>
      <w:proofErr w:type="spellStart"/>
      <w:r w:rsidRPr="00495AC3">
        <w:rPr>
          <w:rFonts w:asciiTheme="minorHAnsi" w:hAnsiTheme="minorHAnsi" w:cstheme="minorHAnsi"/>
          <w:i/>
          <w:iCs/>
        </w:rPr>
        <w:t>care</w:t>
      </w:r>
      <w:proofErr w:type="spellEnd"/>
      <w:r w:rsidRPr="00495AC3">
        <w:rPr>
          <w:rFonts w:asciiTheme="minorHAnsi" w:hAnsiTheme="minorHAnsi" w:cstheme="minorHAnsi"/>
          <w:i/>
          <w:iCs/>
        </w:rPr>
        <w:t xml:space="preserve"> </w:t>
      </w:r>
      <w:proofErr w:type="spellStart"/>
      <w:r w:rsidRPr="00495AC3">
        <w:rPr>
          <w:rFonts w:asciiTheme="minorHAnsi" w:hAnsiTheme="minorHAnsi" w:cstheme="minorHAnsi"/>
          <w:i/>
          <w:iCs/>
        </w:rPr>
        <w:t>medicine</w:t>
      </w:r>
      <w:proofErr w:type="spellEnd"/>
      <w:r w:rsidRPr="00495AC3">
        <w:rPr>
          <w:rFonts w:asciiTheme="minorHAnsi" w:hAnsiTheme="minorHAnsi" w:cstheme="minorHAnsi"/>
        </w:rPr>
        <w:t>, </w:t>
      </w:r>
      <w:r w:rsidRPr="00495AC3">
        <w:rPr>
          <w:rFonts w:asciiTheme="minorHAnsi" w:hAnsiTheme="minorHAnsi" w:cstheme="minorHAnsi"/>
          <w:i/>
          <w:iCs/>
        </w:rPr>
        <w:t>48</w:t>
      </w:r>
      <w:r w:rsidRPr="00495AC3">
        <w:rPr>
          <w:rFonts w:asciiTheme="minorHAnsi" w:hAnsiTheme="minorHAnsi" w:cstheme="minorHAnsi"/>
        </w:rPr>
        <w:t xml:space="preserve">(2), e98-e106. </w:t>
      </w:r>
      <w:hyperlink r:id="rId45" w:history="1">
        <w:r w:rsidRPr="00495AC3">
          <w:rPr>
            <w:rStyle w:val="Hipercze"/>
            <w:rFonts w:asciiTheme="minorHAnsi" w:hAnsiTheme="minorHAnsi" w:cstheme="minorHAnsi"/>
          </w:rPr>
          <w:t>https://doi.org/10.1097/ccm.0000000000004093</w:t>
        </w:r>
      </w:hyperlink>
    </w:p>
    <w:p w14:paraId="10282CF7"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31. Li, Z., &amp; Denning, D. W. (2023). The impact of corticosteroids on the outcome of fungal disease: a systematic review and meta-analysis. </w:t>
      </w:r>
      <w:r w:rsidRPr="00495AC3">
        <w:rPr>
          <w:rFonts w:asciiTheme="minorHAnsi" w:hAnsiTheme="minorHAnsi" w:cstheme="minorHAnsi"/>
          <w:i/>
          <w:iCs/>
          <w:lang w:val="en-US"/>
        </w:rPr>
        <w:t>Current Fungal Infection Reports</w:t>
      </w:r>
      <w:r w:rsidRPr="00495AC3">
        <w:rPr>
          <w:rFonts w:asciiTheme="minorHAnsi" w:hAnsiTheme="minorHAnsi" w:cstheme="minorHAnsi"/>
          <w:lang w:val="en-US"/>
        </w:rPr>
        <w:t>, </w:t>
      </w:r>
      <w:r w:rsidRPr="00495AC3">
        <w:rPr>
          <w:rFonts w:asciiTheme="minorHAnsi" w:hAnsiTheme="minorHAnsi" w:cstheme="minorHAnsi"/>
          <w:i/>
          <w:iCs/>
          <w:lang w:val="en-US"/>
        </w:rPr>
        <w:t>17</w:t>
      </w:r>
      <w:r w:rsidRPr="00495AC3">
        <w:rPr>
          <w:rFonts w:asciiTheme="minorHAnsi" w:hAnsiTheme="minorHAnsi" w:cstheme="minorHAnsi"/>
          <w:lang w:val="en-US"/>
        </w:rPr>
        <w:t xml:space="preserve">(1), 54-70. </w:t>
      </w:r>
      <w:hyperlink r:id="rId46" w:history="1">
        <w:r w:rsidRPr="00495AC3">
          <w:rPr>
            <w:rStyle w:val="Hipercze"/>
            <w:rFonts w:asciiTheme="minorHAnsi" w:hAnsiTheme="minorHAnsi" w:cstheme="minorHAnsi"/>
            <w:lang w:val="en-US"/>
          </w:rPr>
          <w:t>https://doi.org/10.1007/s12281-023-00456-2</w:t>
        </w:r>
      </w:hyperlink>
    </w:p>
    <w:p w14:paraId="7051BC32" w14:textId="77777777" w:rsidR="00495AC3" w:rsidRPr="00495AC3" w:rsidRDefault="00495AC3" w:rsidP="00495AC3">
      <w:pPr>
        <w:spacing w:line="360" w:lineRule="auto"/>
        <w:jc w:val="both"/>
        <w:rPr>
          <w:rFonts w:asciiTheme="minorHAnsi" w:hAnsiTheme="minorHAnsi" w:cstheme="minorHAnsi"/>
          <w:lang w:val="en-US"/>
        </w:rPr>
      </w:pPr>
      <w:r w:rsidRPr="00495AC3">
        <w:rPr>
          <w:rFonts w:asciiTheme="minorHAnsi" w:hAnsiTheme="minorHAnsi" w:cstheme="minorHAnsi"/>
          <w:lang w:val="en-US"/>
        </w:rPr>
        <w:t>32. Hage, R., &amp; Schuurmans, M. M. (2020). Suggested management of e-cigarette or vaping product use associated lung injury (EVALI). </w:t>
      </w:r>
      <w:r w:rsidRPr="00495AC3">
        <w:rPr>
          <w:rFonts w:asciiTheme="minorHAnsi" w:hAnsiTheme="minorHAnsi" w:cstheme="minorHAnsi"/>
          <w:i/>
          <w:iCs/>
          <w:lang w:val="en-US"/>
        </w:rPr>
        <w:t>Journal of Thoracic Disease</w:t>
      </w:r>
      <w:r w:rsidRPr="00495AC3">
        <w:rPr>
          <w:rFonts w:asciiTheme="minorHAnsi" w:hAnsiTheme="minorHAnsi" w:cstheme="minorHAnsi"/>
          <w:lang w:val="en-US"/>
        </w:rPr>
        <w:t>, </w:t>
      </w:r>
      <w:r w:rsidRPr="00495AC3">
        <w:rPr>
          <w:rFonts w:asciiTheme="minorHAnsi" w:hAnsiTheme="minorHAnsi" w:cstheme="minorHAnsi"/>
          <w:i/>
          <w:iCs/>
          <w:lang w:val="en-US"/>
        </w:rPr>
        <w:t>12</w:t>
      </w:r>
      <w:r w:rsidRPr="00495AC3">
        <w:rPr>
          <w:rFonts w:asciiTheme="minorHAnsi" w:hAnsiTheme="minorHAnsi" w:cstheme="minorHAnsi"/>
          <w:lang w:val="en-US"/>
        </w:rPr>
        <w:t xml:space="preserve">(7), 3460. </w:t>
      </w:r>
      <w:hyperlink r:id="rId47" w:history="1">
        <w:r w:rsidRPr="00495AC3">
          <w:rPr>
            <w:rStyle w:val="Hipercze"/>
            <w:rFonts w:asciiTheme="minorHAnsi" w:hAnsiTheme="minorHAnsi" w:cstheme="minorHAnsi"/>
            <w:lang w:val="en-US"/>
          </w:rPr>
          <w:t>https://doi.org/10.21037/jtd.2020.03.101</w:t>
        </w:r>
      </w:hyperlink>
    </w:p>
    <w:p w14:paraId="0AADBA69" w14:textId="77777777" w:rsidR="00495AC3" w:rsidRPr="00495AC3" w:rsidRDefault="00495AC3" w:rsidP="00495AC3">
      <w:pPr>
        <w:spacing w:line="360" w:lineRule="auto"/>
        <w:jc w:val="both"/>
        <w:rPr>
          <w:rFonts w:asciiTheme="minorHAnsi" w:hAnsiTheme="minorHAnsi" w:cstheme="minorHAnsi"/>
        </w:rPr>
      </w:pPr>
      <w:r w:rsidRPr="00495AC3">
        <w:rPr>
          <w:rFonts w:asciiTheme="minorHAnsi" w:hAnsiTheme="minorHAnsi" w:cstheme="minorHAnsi"/>
          <w:lang w:val="en-US"/>
        </w:rPr>
        <w:lastRenderedPageBreak/>
        <w:t xml:space="preserve">33. </w:t>
      </w:r>
      <w:proofErr w:type="spellStart"/>
      <w:r w:rsidRPr="00495AC3">
        <w:rPr>
          <w:rFonts w:asciiTheme="minorHAnsi" w:hAnsiTheme="minorHAnsi" w:cstheme="minorHAnsi"/>
          <w:lang w:val="en-US"/>
        </w:rPr>
        <w:t>Belok</w:t>
      </w:r>
      <w:proofErr w:type="spellEnd"/>
      <w:r w:rsidRPr="00495AC3">
        <w:rPr>
          <w:rFonts w:asciiTheme="minorHAnsi" w:hAnsiTheme="minorHAnsi" w:cstheme="minorHAnsi"/>
          <w:lang w:val="en-US"/>
        </w:rPr>
        <w:t>, S. H., Parikh, R., Bernardo, J., &amp; Kathuria, H. (2020). E-cigarette, or vaping, product use-associated lung injury: a review. </w:t>
      </w:r>
      <w:r w:rsidRPr="00495AC3">
        <w:rPr>
          <w:rFonts w:asciiTheme="minorHAnsi" w:hAnsiTheme="minorHAnsi" w:cstheme="minorHAnsi"/>
          <w:i/>
          <w:iCs/>
        </w:rPr>
        <w:t>Pneumonia</w:t>
      </w:r>
      <w:r w:rsidRPr="00495AC3">
        <w:rPr>
          <w:rFonts w:asciiTheme="minorHAnsi" w:hAnsiTheme="minorHAnsi" w:cstheme="minorHAnsi"/>
        </w:rPr>
        <w:t>, </w:t>
      </w:r>
      <w:r w:rsidRPr="00495AC3">
        <w:rPr>
          <w:rFonts w:asciiTheme="minorHAnsi" w:hAnsiTheme="minorHAnsi" w:cstheme="minorHAnsi"/>
          <w:i/>
          <w:iCs/>
        </w:rPr>
        <w:t>12</w:t>
      </w:r>
      <w:r w:rsidRPr="00495AC3">
        <w:rPr>
          <w:rFonts w:asciiTheme="minorHAnsi" w:hAnsiTheme="minorHAnsi" w:cstheme="minorHAnsi"/>
        </w:rPr>
        <w:t xml:space="preserve">, 1-8. </w:t>
      </w:r>
      <w:hyperlink r:id="rId48" w:history="1">
        <w:r w:rsidRPr="00495AC3">
          <w:rPr>
            <w:rStyle w:val="Hipercze"/>
            <w:rFonts w:asciiTheme="minorHAnsi" w:hAnsiTheme="minorHAnsi" w:cstheme="minorHAnsi"/>
          </w:rPr>
          <w:t>https://doi.org/10.1186/s41479-020-00075-2</w:t>
        </w:r>
      </w:hyperlink>
    </w:p>
    <w:p w14:paraId="45D5055E" w14:textId="77777777" w:rsidR="00495AC3" w:rsidRPr="00495AC3" w:rsidRDefault="00495AC3" w:rsidP="00495AC3">
      <w:pPr>
        <w:spacing w:line="360" w:lineRule="auto"/>
        <w:jc w:val="both"/>
        <w:rPr>
          <w:rFonts w:asciiTheme="minorHAnsi" w:hAnsiTheme="minorHAnsi" w:cstheme="minorHAnsi"/>
        </w:rPr>
      </w:pPr>
    </w:p>
    <w:p w14:paraId="572F40D6" w14:textId="74509BDC" w:rsidR="00BE0F4E" w:rsidRPr="00495AC3" w:rsidRDefault="00BE0F4E" w:rsidP="00495AC3">
      <w:pPr>
        <w:spacing w:line="360" w:lineRule="auto"/>
        <w:jc w:val="both"/>
        <w:rPr>
          <w:rFonts w:asciiTheme="minorHAnsi" w:hAnsiTheme="minorHAnsi" w:cstheme="minorHAnsi"/>
          <w:lang w:val="en-US"/>
        </w:rPr>
      </w:pPr>
    </w:p>
    <w:sectPr w:rsidR="00BE0F4E" w:rsidRPr="00495AC3">
      <w:headerReference w:type="even" r:id="rId49"/>
      <w:footerReference w:type="even" r:id="rId50"/>
      <w:footerReference w:type="default" r:id="rId51"/>
      <w:headerReference w:type="first" r:id="rId52"/>
      <w:footerReference w:type="first" r:id="rId53"/>
      <w:endnotePr>
        <w:numFmt w:val="decimal"/>
      </w:endnotePr>
      <w:pgSz w:w="11906" w:h="16838"/>
      <w:pgMar w:top="1417" w:right="1417" w:bottom="1417" w:left="1417" w:header="1417" w:footer="708" w:gutter="0"/>
      <w:cols w:space="1701"/>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C85F0" w14:textId="77777777" w:rsidR="003939CF" w:rsidRDefault="003939CF">
      <w:r>
        <w:separator/>
      </w:r>
    </w:p>
  </w:endnote>
  <w:endnote w:type="continuationSeparator" w:id="0">
    <w:p w14:paraId="7672D4B8" w14:textId="77777777" w:rsidR="003939CF" w:rsidRDefault="0039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Kudriashov">
    <w:altName w:val="Trebuchet M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Liberation Serif">
    <w:altName w:val="Times New Roman"/>
    <w:panose1 w:val="020B0604020202020204"/>
    <w:charset w:val="EE"/>
    <w:family w:val="swiss"/>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A450B" w14:textId="77777777" w:rsidR="007B4624" w:rsidRDefault="007B4624">
    <w:pPr>
      <w:pStyle w:val="Stopka"/>
    </w:pPr>
  </w:p>
  <w:p w14:paraId="04D9F1C8" w14:textId="77777777" w:rsidR="005504C4" w:rsidRDefault="005504C4"/>
  <w:p w14:paraId="6052C8D1" w14:textId="77777777" w:rsidR="005504C4" w:rsidRDefault="005504C4"/>
  <w:p w14:paraId="7FAEFCD6" w14:textId="77777777" w:rsidR="005504C4" w:rsidRDefault="005504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FAC91" w14:textId="23B4D356" w:rsidR="005504C4" w:rsidRDefault="00000000" w:rsidP="003F3321">
    <w:pPr>
      <w:pStyle w:val="Stopka"/>
      <w:jc w:val="center"/>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08096"/>
    </w:sdtPr>
    <w:sdtContent>
      <w:p w14:paraId="78EA0AA4" w14:textId="77777777" w:rsidR="00BE0F4E" w:rsidRDefault="00000000">
        <w:pPr>
          <w:pStyle w:val="Stopka"/>
          <w:jc w:val="center"/>
        </w:pPr>
        <w:r>
          <w:fldChar w:fldCharType="begin"/>
        </w:r>
        <w:r>
          <w:instrText>PAGE   \* MERGEFORMAT</w:instrText>
        </w:r>
        <w:r>
          <w:fldChar w:fldCharType="separate"/>
        </w:r>
        <w:r>
          <w:t>2</w:t>
        </w:r>
        <w:r>
          <w:fldChar w:fldCharType="end"/>
        </w:r>
      </w:p>
    </w:sdtContent>
  </w:sdt>
  <w:p w14:paraId="221B05E8" w14:textId="77777777" w:rsidR="005504C4" w:rsidRDefault="005504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54E5B" w14:textId="77777777" w:rsidR="003939CF" w:rsidRDefault="003939CF">
      <w:r>
        <w:separator/>
      </w:r>
    </w:p>
  </w:footnote>
  <w:footnote w:type="continuationSeparator" w:id="0">
    <w:p w14:paraId="37C60A9F" w14:textId="77777777" w:rsidR="003939CF" w:rsidRDefault="0039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1EE8D" w14:textId="77777777" w:rsidR="007B4624" w:rsidRDefault="007B4624">
    <w:pPr>
      <w:pStyle w:val="Nagwek"/>
    </w:pPr>
  </w:p>
  <w:p w14:paraId="150F1376" w14:textId="77777777" w:rsidR="005504C4" w:rsidRDefault="005504C4"/>
  <w:p w14:paraId="73EA9D3E" w14:textId="77777777" w:rsidR="005504C4" w:rsidRDefault="005504C4"/>
  <w:p w14:paraId="2F812D55" w14:textId="77777777" w:rsidR="005504C4" w:rsidRDefault="005504C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B3EAF" w14:textId="10D86E42" w:rsidR="00BE0F4E" w:rsidRPr="0061250E" w:rsidRDefault="00E113DE">
    <w:pPr>
      <w:tabs>
        <w:tab w:val="center" w:pos="4153"/>
        <w:tab w:val="right" w:pos="8306"/>
      </w:tabs>
      <w:jc w:val="both"/>
      <w:rPr>
        <w:rFonts w:asciiTheme="majorHAnsi" w:hAnsiTheme="majorHAnsi" w:cstheme="majorHAnsi"/>
        <w:b/>
        <w:bCs/>
        <w:color w:val="000000" w:themeColor="text1"/>
        <w:sz w:val="16"/>
        <w:szCs w:val="16"/>
        <w:shd w:val="clear" w:color="auto" w:fill="FFFFFF"/>
        <w:lang w:val="en-US"/>
      </w:rPr>
    </w:pPr>
    <w:r w:rsidRPr="00E113DE">
      <w:rPr>
        <w:rFonts w:asciiTheme="majorHAnsi" w:hAnsiTheme="majorHAnsi" w:cstheme="majorHAnsi"/>
        <w:b/>
        <w:bCs/>
        <w:color w:val="434C57"/>
        <w:sz w:val="16"/>
        <w:szCs w:val="16"/>
        <w:shd w:val="clear" w:color="auto" w:fill="FFFFFF"/>
      </w:rPr>
      <w:t xml:space="preserve">ALABRUDZIŃSKI, Konstanty, WILEWSKA, Anna, POMIRSKI, Bartosz, BIERNIKIEWICZ, Julia, BIERNIKIEWICZ, Milena, POMIRSKA, Agata, BOROWIEC, Agnieszka, KWAŚNIEWSKA, Paulina, BOROWIEC, Kinga and DACH, Aleksandra. </w:t>
    </w:r>
    <w:r w:rsidRPr="00E113DE">
      <w:rPr>
        <w:rFonts w:asciiTheme="majorHAnsi" w:hAnsiTheme="majorHAnsi" w:cstheme="majorHAnsi"/>
        <w:b/>
        <w:bCs/>
        <w:color w:val="434C57"/>
        <w:sz w:val="16"/>
        <w:szCs w:val="16"/>
        <w:shd w:val="clear" w:color="auto" w:fill="FFFFFF"/>
        <w:lang w:val="en-US"/>
      </w:rPr>
      <w:t>E-cigarette or vaping product use-associated lung injury (EVALI) epidemy of 2019 and how to prevent it from happening again – a review.</w:t>
    </w:r>
    <w:r w:rsidRPr="00E113DE">
      <w:rPr>
        <w:rStyle w:val="apple-converted-space"/>
        <w:rFonts w:asciiTheme="majorHAnsi" w:hAnsiTheme="majorHAnsi" w:cstheme="majorHAnsi"/>
        <w:b/>
        <w:bCs/>
        <w:color w:val="434C57"/>
        <w:sz w:val="16"/>
        <w:szCs w:val="16"/>
        <w:shd w:val="clear" w:color="auto" w:fill="FFFFFF"/>
        <w:lang w:val="en-US"/>
      </w:rPr>
      <w:t> </w:t>
    </w:r>
    <w:proofErr w:type="spellStart"/>
    <w:r w:rsidRPr="00E113DE">
      <w:rPr>
        <w:rFonts w:asciiTheme="majorHAnsi" w:hAnsiTheme="majorHAnsi" w:cstheme="majorHAnsi"/>
        <w:b/>
        <w:bCs/>
        <w:color w:val="434C57"/>
        <w:sz w:val="16"/>
        <w:szCs w:val="16"/>
      </w:rPr>
      <w:t>Journal</w:t>
    </w:r>
    <w:proofErr w:type="spellEnd"/>
    <w:r w:rsidRPr="00E113DE">
      <w:rPr>
        <w:rFonts w:asciiTheme="majorHAnsi" w:hAnsiTheme="majorHAnsi" w:cstheme="majorHAnsi"/>
        <w:b/>
        <w:bCs/>
        <w:color w:val="434C57"/>
        <w:sz w:val="16"/>
        <w:szCs w:val="16"/>
      </w:rPr>
      <w:t xml:space="preserve"> of </w:t>
    </w:r>
    <w:proofErr w:type="spellStart"/>
    <w:r w:rsidRPr="00E113DE">
      <w:rPr>
        <w:rFonts w:asciiTheme="majorHAnsi" w:hAnsiTheme="majorHAnsi" w:cstheme="majorHAnsi"/>
        <w:b/>
        <w:bCs/>
        <w:color w:val="434C57"/>
        <w:sz w:val="16"/>
        <w:szCs w:val="16"/>
      </w:rPr>
      <w:t>Education</w:t>
    </w:r>
    <w:proofErr w:type="spellEnd"/>
    <w:r w:rsidRPr="00E113DE">
      <w:rPr>
        <w:rFonts w:asciiTheme="majorHAnsi" w:hAnsiTheme="majorHAnsi" w:cstheme="majorHAnsi"/>
        <w:b/>
        <w:bCs/>
        <w:color w:val="434C57"/>
        <w:sz w:val="16"/>
        <w:szCs w:val="16"/>
      </w:rPr>
      <w:t xml:space="preserve">, </w:t>
    </w:r>
    <w:proofErr w:type="spellStart"/>
    <w:r w:rsidRPr="00E113DE">
      <w:rPr>
        <w:rFonts w:asciiTheme="majorHAnsi" w:hAnsiTheme="majorHAnsi" w:cstheme="majorHAnsi"/>
        <w:b/>
        <w:bCs/>
        <w:color w:val="434C57"/>
        <w:sz w:val="16"/>
        <w:szCs w:val="16"/>
      </w:rPr>
      <w:t>Health</w:t>
    </w:r>
    <w:proofErr w:type="spellEnd"/>
    <w:r w:rsidRPr="00E113DE">
      <w:rPr>
        <w:rFonts w:asciiTheme="majorHAnsi" w:hAnsiTheme="majorHAnsi" w:cstheme="majorHAnsi"/>
        <w:b/>
        <w:bCs/>
        <w:color w:val="434C57"/>
        <w:sz w:val="16"/>
        <w:szCs w:val="16"/>
      </w:rPr>
      <w:t xml:space="preserve"> and Sport</w:t>
    </w:r>
    <w:r w:rsidRPr="00E113DE">
      <w:rPr>
        <w:rFonts w:asciiTheme="majorHAnsi" w:hAnsiTheme="majorHAnsi" w:cstheme="majorHAnsi"/>
        <w:b/>
        <w:bCs/>
        <w:color w:val="434C57"/>
        <w:sz w:val="16"/>
        <w:szCs w:val="16"/>
      </w:rPr>
      <w:t>.</w:t>
    </w:r>
    <w:r>
      <w:rPr>
        <w:rFonts w:ascii="Arial" w:hAnsi="Arial" w:cs="Arial"/>
        <w:i/>
        <w:iCs/>
        <w:color w:val="434C57"/>
        <w:sz w:val="20"/>
        <w:szCs w:val="20"/>
      </w:rPr>
      <w:t xml:space="preserve"> </w:t>
    </w:r>
    <w:r w:rsidR="00BB6D85" w:rsidRPr="0061250E">
      <w:rPr>
        <w:rFonts w:asciiTheme="majorHAnsi" w:hAnsiTheme="majorHAnsi" w:cstheme="majorHAnsi"/>
        <w:b/>
        <w:bCs/>
        <w:color w:val="000000" w:themeColor="text1"/>
        <w:sz w:val="16"/>
        <w:szCs w:val="16"/>
        <w:lang w:val="en-GB"/>
      </w:rPr>
      <w:t>2024;</w:t>
    </w:r>
    <w:r w:rsidR="00B73856" w:rsidRPr="0061250E">
      <w:rPr>
        <w:rFonts w:asciiTheme="majorHAnsi" w:hAnsiTheme="majorHAnsi" w:cstheme="majorHAnsi"/>
        <w:b/>
        <w:bCs/>
        <w:color w:val="000000" w:themeColor="text1"/>
        <w:sz w:val="16"/>
        <w:szCs w:val="16"/>
        <w:lang w:val="en-US"/>
      </w:rPr>
      <w:t>75</w:t>
    </w:r>
    <w:r w:rsidR="00BB6D85" w:rsidRPr="0061250E">
      <w:rPr>
        <w:rFonts w:asciiTheme="majorHAnsi" w:hAnsiTheme="majorHAnsi" w:cstheme="majorHAnsi"/>
        <w:b/>
        <w:bCs/>
        <w:color w:val="000000" w:themeColor="text1"/>
        <w:sz w:val="16"/>
        <w:szCs w:val="16"/>
        <w:lang w:val="en-GB"/>
      </w:rPr>
      <w:t>:5</w:t>
    </w:r>
    <w:r w:rsidR="00B73856" w:rsidRPr="0061250E">
      <w:rPr>
        <w:rFonts w:asciiTheme="majorHAnsi" w:hAnsiTheme="majorHAnsi" w:cstheme="majorHAnsi"/>
        <w:b/>
        <w:bCs/>
        <w:color w:val="000000" w:themeColor="text1"/>
        <w:sz w:val="16"/>
        <w:szCs w:val="16"/>
        <w:lang w:val="en-US"/>
      </w:rPr>
      <w:t>6</w:t>
    </w:r>
    <w:r w:rsidR="006C4109" w:rsidRPr="0061250E">
      <w:rPr>
        <w:rFonts w:asciiTheme="majorHAnsi" w:hAnsiTheme="majorHAnsi" w:cstheme="majorHAnsi"/>
        <w:b/>
        <w:bCs/>
        <w:color w:val="000000" w:themeColor="text1"/>
        <w:sz w:val="16"/>
        <w:szCs w:val="16"/>
        <w:lang w:val="en-US"/>
      </w:rPr>
      <w:t>4</w:t>
    </w:r>
    <w:r>
      <w:rPr>
        <w:rFonts w:asciiTheme="majorHAnsi" w:hAnsiTheme="majorHAnsi" w:cstheme="majorHAnsi"/>
        <w:b/>
        <w:bCs/>
        <w:color w:val="000000" w:themeColor="text1"/>
        <w:sz w:val="16"/>
        <w:szCs w:val="16"/>
        <w:lang w:val="en-US"/>
      </w:rPr>
      <w:t>93</w:t>
    </w:r>
    <w:r w:rsidR="007458FE" w:rsidRPr="0061250E">
      <w:rPr>
        <w:rFonts w:asciiTheme="majorHAnsi" w:hAnsiTheme="majorHAnsi" w:cstheme="majorHAnsi"/>
        <w:b/>
        <w:bCs/>
        <w:color w:val="000000" w:themeColor="text1"/>
        <w:sz w:val="16"/>
        <w:szCs w:val="16"/>
        <w:lang w:val="en-US"/>
      </w:rPr>
      <w:t xml:space="preserve"> </w:t>
    </w:r>
    <w:proofErr w:type="spellStart"/>
    <w:r w:rsidR="00BB6D85" w:rsidRPr="0061250E">
      <w:rPr>
        <w:rFonts w:asciiTheme="majorHAnsi" w:hAnsiTheme="majorHAnsi" w:cstheme="majorHAnsi"/>
        <w:b/>
        <w:bCs/>
        <w:color w:val="000000" w:themeColor="text1"/>
        <w:sz w:val="16"/>
        <w:szCs w:val="16"/>
        <w:lang w:val="en-GB"/>
      </w:rPr>
      <w:t>eISSN</w:t>
    </w:r>
    <w:proofErr w:type="spellEnd"/>
    <w:r w:rsidR="00BB6D85" w:rsidRPr="0061250E">
      <w:rPr>
        <w:rFonts w:asciiTheme="majorHAnsi" w:hAnsiTheme="majorHAnsi" w:cstheme="majorHAnsi"/>
        <w:b/>
        <w:bCs/>
        <w:color w:val="000000" w:themeColor="text1"/>
        <w:sz w:val="16"/>
        <w:szCs w:val="16"/>
        <w:lang w:val="en-GB"/>
      </w:rPr>
      <w:t xml:space="preserve"> 2450-3118.</w:t>
    </w:r>
  </w:p>
  <w:p w14:paraId="0B59E756" w14:textId="5D1C83F5" w:rsidR="005D35EB" w:rsidRDefault="00E113DE">
    <w:pPr>
      <w:tabs>
        <w:tab w:val="center" w:pos="4153"/>
        <w:tab w:val="right" w:pos="8306"/>
      </w:tabs>
      <w:jc w:val="both"/>
      <w:rPr>
        <w:b/>
        <w:sz w:val="16"/>
        <w:szCs w:val="16"/>
        <w:lang w:val="en-US"/>
      </w:rPr>
    </w:pPr>
    <w:hyperlink r:id="rId1" w:history="1">
      <w:r w:rsidRPr="00F03128">
        <w:rPr>
          <w:rStyle w:val="Hipercze"/>
          <w:b/>
          <w:sz w:val="16"/>
          <w:szCs w:val="16"/>
          <w:lang w:val="en-GB"/>
        </w:rPr>
        <w:t>https://dx.doi.org/10.12775/JEHS.2024.75.5</w:t>
      </w:r>
      <w:r w:rsidRPr="00F03128">
        <w:rPr>
          <w:rStyle w:val="Hipercze"/>
          <w:b/>
          <w:sz w:val="16"/>
          <w:szCs w:val="16"/>
          <w:lang w:val="en-US"/>
        </w:rPr>
        <w:t>6493</w:t>
      </w:r>
    </w:hyperlink>
  </w:p>
  <w:p w14:paraId="5660A980" w14:textId="1685C677" w:rsidR="0061250E" w:rsidRDefault="00E113DE">
    <w:pPr>
      <w:tabs>
        <w:tab w:val="center" w:pos="4153"/>
        <w:tab w:val="right" w:pos="8306"/>
      </w:tabs>
      <w:jc w:val="both"/>
      <w:rPr>
        <w:b/>
        <w:sz w:val="16"/>
        <w:szCs w:val="16"/>
        <w:lang w:val="en-GB"/>
      </w:rPr>
    </w:pPr>
    <w:hyperlink r:id="rId2" w:history="1">
      <w:r w:rsidRPr="00F03128">
        <w:rPr>
          <w:rStyle w:val="Hipercze"/>
          <w:b/>
          <w:sz w:val="16"/>
          <w:szCs w:val="16"/>
          <w:lang w:val="en-GB"/>
        </w:rPr>
        <w:t>https://apcz.umk.pl/JEHS/article/view/56493</w:t>
      </w:r>
    </w:hyperlink>
  </w:p>
  <w:p w14:paraId="76C5AF9F" w14:textId="77777777" w:rsidR="007D7E62" w:rsidRDefault="007D7E62">
    <w:pPr>
      <w:tabs>
        <w:tab w:val="center" w:pos="4153"/>
        <w:tab w:val="right" w:pos="8306"/>
      </w:tabs>
      <w:jc w:val="both"/>
      <w:rPr>
        <w:b/>
        <w:sz w:val="16"/>
        <w:szCs w:val="16"/>
        <w:lang w:val="en-GB"/>
      </w:rPr>
    </w:pPr>
  </w:p>
  <w:p w14:paraId="512C67EC" w14:textId="575F38D0" w:rsidR="00BE0F4E" w:rsidRPr="004103DA" w:rsidRDefault="00BE0F4E" w:rsidP="002C67CE">
    <w:pPr>
      <w:tabs>
        <w:tab w:val="left" w:pos="5119"/>
      </w:tabs>
      <w:jc w:val="both"/>
      <w:rPr>
        <w:sz w:val="18"/>
        <w:szCs w:val="18"/>
        <w:lang w:val="en-US"/>
      </w:rPr>
    </w:pPr>
  </w:p>
  <w:p w14:paraId="2F9BBBE7" w14:textId="77777777" w:rsidR="00BE0F4E" w:rsidRPr="006C4109" w:rsidRDefault="00BE0F4E">
    <w:pPr>
      <w:tabs>
        <w:tab w:val="center" w:pos="4153"/>
        <w:tab w:val="right" w:pos="8306"/>
      </w:tabs>
      <w:jc w:val="both"/>
      <w:rPr>
        <w:sz w:val="18"/>
        <w:szCs w:val="18"/>
        <w:lang w:val="en-US"/>
      </w:rPr>
    </w:pPr>
  </w:p>
  <w:p w14:paraId="0484475E" w14:textId="77777777" w:rsidR="00BE0F4E" w:rsidRDefault="00BE0F4E">
    <w:pPr>
      <w:tabs>
        <w:tab w:val="center" w:pos="4153"/>
        <w:tab w:val="right" w:pos="8306"/>
      </w:tabs>
      <w:jc w:val="both"/>
      <w:rPr>
        <w:sz w:val="18"/>
        <w:szCs w:val="18"/>
        <w:lang w:val="en-GB"/>
      </w:rPr>
    </w:pPr>
  </w:p>
  <w:p w14:paraId="61B28856" w14:textId="77777777" w:rsidR="00BE0F4E" w:rsidRDefault="00BE0F4E">
    <w:pPr>
      <w:tabs>
        <w:tab w:val="center" w:pos="4153"/>
        <w:tab w:val="right" w:pos="8306"/>
      </w:tabs>
      <w:jc w:val="both"/>
      <w:rPr>
        <w:sz w:val="18"/>
        <w:szCs w:val="18"/>
        <w:lang w:val="en-GB"/>
      </w:rPr>
    </w:pPr>
  </w:p>
  <w:p w14:paraId="19252502" w14:textId="77777777" w:rsidR="00BE0F4E" w:rsidRDefault="00000000">
    <w:pPr>
      <w:tabs>
        <w:tab w:val="center" w:pos="4153"/>
        <w:tab w:val="right" w:pos="8306"/>
      </w:tabs>
      <w:jc w:val="both"/>
      <w:rPr>
        <w:sz w:val="16"/>
        <w:szCs w:val="16"/>
        <w:lang w:val="en-GB"/>
      </w:rPr>
    </w:pPr>
    <w:r>
      <w:rPr>
        <w:sz w:val="16"/>
        <w:szCs w:val="16"/>
        <w:lang w:val="en-GB"/>
      </w:rPr>
      <w:t>The journal has had 20 points in Ministry of Higher Education and Science of Poland parametric evaluation. Annex to the announcement of the Minister of Higher Education and Science of 05.01.2024. No. 32553.</w:t>
    </w:r>
  </w:p>
  <w:p w14:paraId="4109886E" w14:textId="77777777" w:rsidR="00BE0F4E" w:rsidRDefault="00000000">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25C3C179" w14:textId="77777777" w:rsidR="00BE0F4E" w:rsidRDefault="00000000">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61E20CCE" w14:textId="77777777" w:rsidR="00BE0F4E" w:rsidRDefault="00000000">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38123079" w14:textId="77777777" w:rsidR="00BE0F4E" w:rsidRDefault="00000000">
    <w:pPr>
      <w:tabs>
        <w:tab w:val="center" w:pos="4153"/>
        <w:tab w:val="right" w:pos="8306"/>
      </w:tabs>
      <w:jc w:val="both"/>
      <w:rPr>
        <w:sz w:val="16"/>
        <w:szCs w:val="16"/>
        <w:lang w:val="en-GB"/>
      </w:rPr>
    </w:pPr>
    <w:r>
      <w:rPr>
        <w:sz w:val="16"/>
        <w:szCs w:val="16"/>
        <w:lang w:val="en-GB"/>
      </w:rPr>
      <w:t xml:space="preserve">© The Authors </w:t>
    </w:r>
    <w:proofErr w:type="gramStart"/>
    <w:r>
      <w:rPr>
        <w:sz w:val="16"/>
        <w:szCs w:val="16"/>
        <w:lang w:val="en-GB"/>
      </w:rPr>
      <w:t>2024;</w:t>
    </w:r>
    <w:proofErr w:type="gramEnd"/>
  </w:p>
  <w:p w14:paraId="2CDA728B" w14:textId="77777777" w:rsidR="00BE0F4E" w:rsidRDefault="00000000">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5368F724" w14:textId="77777777" w:rsidR="00BE0F4E" w:rsidRDefault="00000000">
    <w:pPr>
      <w:tabs>
        <w:tab w:val="center" w:pos="4153"/>
        <w:tab w:val="right" w:pos="8306"/>
      </w:tabs>
      <w:jc w:val="both"/>
      <w:rPr>
        <w:sz w:val="16"/>
        <w:szCs w:val="16"/>
        <w:lang w:val="en-GB"/>
      </w:rPr>
    </w:pPr>
    <w:r>
      <w:rPr>
        <w:sz w:val="16"/>
        <w:szCs w:val="16"/>
        <w:lang w:val="en-GB"/>
      </w:rPr>
      <w:t xml:space="preserve">Open Access. This article is distributed under the terms of the Creative Commons Attribution </w:t>
    </w:r>
    <w:proofErr w:type="spellStart"/>
    <w:r>
      <w:rPr>
        <w:sz w:val="16"/>
        <w:szCs w:val="16"/>
        <w:lang w:val="en-GB"/>
      </w:rPr>
      <w:t>Noncommercial</w:t>
    </w:r>
    <w:proofErr w:type="spellEnd"/>
    <w:r>
      <w:rPr>
        <w:sz w:val="16"/>
        <w:szCs w:val="16"/>
        <w:lang w:val="en-GB"/>
      </w:rPr>
      <w:t xml:space="preserve"> License which permits any </w:t>
    </w:r>
    <w:proofErr w:type="spellStart"/>
    <w:r>
      <w:rPr>
        <w:sz w:val="16"/>
        <w:szCs w:val="16"/>
        <w:lang w:val="en-GB"/>
      </w:rPr>
      <w:t>noncommercial</w:t>
    </w:r>
    <w:proofErr w:type="spellEnd"/>
    <w:r>
      <w:rPr>
        <w:sz w:val="16"/>
        <w:szCs w:val="16"/>
        <w:lang w:val="en-GB"/>
      </w:rPr>
      <w:t xml:space="preserve"> use, distribution, and reproduction in any medium, provided the original author (s) and source are credited. This is an open access article licensed under the terms of the Creative Commons Attribution </w:t>
    </w:r>
    <w:proofErr w:type="spellStart"/>
    <w:r>
      <w:rPr>
        <w:sz w:val="16"/>
        <w:szCs w:val="16"/>
        <w:lang w:val="en-GB"/>
      </w:rPr>
      <w:t>Non commercial</w:t>
    </w:r>
    <w:proofErr w:type="spellEnd"/>
    <w:r>
      <w:rPr>
        <w:sz w:val="16"/>
        <w:szCs w:val="16"/>
        <w:lang w:val="en-GB"/>
      </w:rPr>
      <w:t xml:space="preserve"> license Share alike. (http://creativecommons.org/licenses/by-nc-sa/4.0/) which permits unrestricted, </w:t>
    </w:r>
    <w:proofErr w:type="spellStart"/>
    <w:proofErr w:type="gramStart"/>
    <w:r>
      <w:rPr>
        <w:sz w:val="16"/>
        <w:szCs w:val="16"/>
        <w:lang w:val="en-GB"/>
      </w:rPr>
      <w:t>non commercial</w:t>
    </w:r>
    <w:proofErr w:type="spellEnd"/>
    <w:proofErr w:type="gramEnd"/>
    <w:r>
      <w:rPr>
        <w:sz w:val="16"/>
        <w:szCs w:val="16"/>
        <w:lang w:val="en-GB"/>
      </w:rPr>
      <w:t xml:space="preserve"> use, distribution and reproduction in any medium, provided the work is properly cited.</w:t>
    </w:r>
  </w:p>
  <w:p w14:paraId="7CDE0634" w14:textId="77777777" w:rsidR="00BE0F4E" w:rsidRDefault="00000000">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6CA0E8D5" w14:textId="1D337944" w:rsidR="00BE0F4E" w:rsidRDefault="00000000">
    <w:pPr>
      <w:tabs>
        <w:tab w:val="center" w:pos="4153"/>
        <w:tab w:val="right" w:pos="8306"/>
      </w:tabs>
      <w:jc w:val="both"/>
      <w:rPr>
        <w:sz w:val="16"/>
        <w:szCs w:val="16"/>
      </w:rPr>
    </w:pPr>
    <w:proofErr w:type="spellStart"/>
    <w:r>
      <w:rPr>
        <w:sz w:val="16"/>
        <w:szCs w:val="16"/>
      </w:rPr>
      <w:t>Received</w:t>
    </w:r>
    <w:proofErr w:type="spellEnd"/>
    <w:r>
      <w:rPr>
        <w:sz w:val="16"/>
        <w:szCs w:val="16"/>
      </w:rPr>
      <w:t xml:space="preserve">: </w:t>
    </w:r>
    <w:r w:rsidR="00D67D80">
      <w:rPr>
        <w:sz w:val="16"/>
        <w:szCs w:val="16"/>
      </w:rPr>
      <w:t>2</w:t>
    </w:r>
    <w:r w:rsidR="00E113DE">
      <w:rPr>
        <w:sz w:val="16"/>
        <w:szCs w:val="16"/>
      </w:rPr>
      <w:t>8</w:t>
    </w:r>
    <w:r w:rsidR="00975921">
      <w:rPr>
        <w:sz w:val="16"/>
        <w:szCs w:val="16"/>
      </w:rPr>
      <w:t>.11</w:t>
    </w:r>
    <w:r>
      <w:rPr>
        <w:sz w:val="16"/>
        <w:szCs w:val="16"/>
      </w:rPr>
      <w:t xml:space="preserve">.2024. </w:t>
    </w:r>
    <w:proofErr w:type="spellStart"/>
    <w:r>
      <w:rPr>
        <w:sz w:val="16"/>
        <w:szCs w:val="16"/>
      </w:rPr>
      <w:t>Revised</w:t>
    </w:r>
    <w:proofErr w:type="spellEnd"/>
    <w:r>
      <w:rPr>
        <w:sz w:val="16"/>
        <w:szCs w:val="16"/>
      </w:rPr>
      <w:t xml:space="preserve">: </w:t>
    </w:r>
    <w:r w:rsidR="00975921">
      <w:rPr>
        <w:sz w:val="16"/>
        <w:szCs w:val="16"/>
      </w:rPr>
      <w:t>1</w:t>
    </w:r>
    <w:r w:rsidR="00E113DE">
      <w:rPr>
        <w:sz w:val="16"/>
        <w:szCs w:val="16"/>
      </w:rPr>
      <w:t>8</w:t>
    </w:r>
    <w:r w:rsidR="00975921">
      <w:rPr>
        <w:sz w:val="16"/>
        <w:szCs w:val="16"/>
      </w:rPr>
      <w:t>.12</w:t>
    </w:r>
    <w:r>
      <w:rPr>
        <w:sz w:val="16"/>
        <w:szCs w:val="16"/>
      </w:rPr>
      <w:t xml:space="preserve">.2024. </w:t>
    </w:r>
    <w:proofErr w:type="spellStart"/>
    <w:r>
      <w:rPr>
        <w:sz w:val="16"/>
        <w:szCs w:val="16"/>
      </w:rPr>
      <w:t>Accepted</w:t>
    </w:r>
    <w:proofErr w:type="spellEnd"/>
    <w:r>
      <w:rPr>
        <w:sz w:val="16"/>
        <w:szCs w:val="16"/>
      </w:rPr>
      <w:t xml:space="preserve">: </w:t>
    </w:r>
    <w:r w:rsidR="00975921">
      <w:rPr>
        <w:sz w:val="16"/>
        <w:szCs w:val="16"/>
      </w:rPr>
      <w:t>1</w:t>
    </w:r>
    <w:r w:rsidR="00E113DE">
      <w:rPr>
        <w:sz w:val="16"/>
        <w:szCs w:val="16"/>
      </w:rPr>
      <w:t>9</w:t>
    </w:r>
    <w:r w:rsidR="00A02EFF">
      <w:rPr>
        <w:sz w:val="16"/>
        <w:szCs w:val="16"/>
      </w:rPr>
      <w:t>.</w:t>
    </w:r>
    <w:r w:rsidR="00975921">
      <w:rPr>
        <w:sz w:val="16"/>
        <w:szCs w:val="16"/>
      </w:rPr>
      <w:t>12</w:t>
    </w:r>
    <w:r>
      <w:rPr>
        <w:sz w:val="16"/>
        <w:szCs w:val="16"/>
      </w:rPr>
      <w:t xml:space="preserve">.2024. </w:t>
    </w:r>
    <w:proofErr w:type="spellStart"/>
    <w:r>
      <w:rPr>
        <w:sz w:val="16"/>
        <w:szCs w:val="16"/>
      </w:rPr>
      <w:t>Published</w:t>
    </w:r>
    <w:proofErr w:type="spellEnd"/>
    <w:r>
      <w:rPr>
        <w:sz w:val="16"/>
        <w:szCs w:val="16"/>
      </w:rPr>
      <w:t xml:space="preserve">: </w:t>
    </w:r>
    <w:r w:rsidR="0061250E">
      <w:rPr>
        <w:sz w:val="16"/>
        <w:szCs w:val="16"/>
      </w:rPr>
      <w:t>20</w:t>
    </w:r>
    <w:r>
      <w:rPr>
        <w:sz w:val="16"/>
        <w:szCs w:val="16"/>
      </w:rPr>
      <w:t>.</w:t>
    </w:r>
    <w:r w:rsidR="00975921">
      <w:rPr>
        <w:sz w:val="16"/>
        <w:szCs w:val="16"/>
      </w:rPr>
      <w:t>12</w:t>
    </w:r>
    <w:r>
      <w:rPr>
        <w:sz w:val="16"/>
        <w:szCs w:val="16"/>
      </w:rPr>
      <w:t>.2024.</w:t>
    </w:r>
  </w:p>
  <w:p w14:paraId="74111B9A" w14:textId="77777777" w:rsidR="00BE0F4E" w:rsidRDefault="00BE0F4E">
    <w:pPr>
      <w:tabs>
        <w:tab w:val="center" w:pos="4153"/>
        <w:tab w:val="right" w:pos="8306"/>
      </w:tabs>
      <w:jc w:val="both"/>
      <w:rPr>
        <w:sz w:val="18"/>
        <w:szCs w:val="18"/>
      </w:rPr>
    </w:pPr>
  </w:p>
  <w:p w14:paraId="4F5CD642" w14:textId="77777777" w:rsidR="00BE0F4E" w:rsidRDefault="00BE0F4E">
    <w:pPr>
      <w:tabs>
        <w:tab w:val="center" w:pos="4153"/>
        <w:tab w:val="right" w:pos="8306"/>
      </w:tabs>
      <w:jc w:val="both"/>
      <w:rPr>
        <w:sz w:val="18"/>
        <w:szCs w:val="18"/>
      </w:rPr>
    </w:pPr>
  </w:p>
  <w:p w14:paraId="379490CC" w14:textId="77777777" w:rsidR="00BE0F4E" w:rsidRDefault="00BE0F4E">
    <w:pPr>
      <w:tabs>
        <w:tab w:val="center" w:pos="4153"/>
        <w:tab w:val="right" w:pos="8306"/>
      </w:tabs>
      <w:jc w:val="both"/>
      <w:rPr>
        <w:sz w:val="18"/>
        <w:szCs w:val="18"/>
      </w:rPr>
    </w:pPr>
  </w:p>
  <w:p w14:paraId="5983AE63" w14:textId="77777777" w:rsidR="00BE0F4E" w:rsidRDefault="00BE0F4E">
    <w:pPr>
      <w:tabs>
        <w:tab w:val="center" w:pos="4153"/>
        <w:tab w:val="right" w:pos="8306"/>
      </w:tabs>
      <w:jc w:val="both"/>
      <w:rPr>
        <w:sz w:val="18"/>
        <w:szCs w:val="18"/>
      </w:rPr>
    </w:pPr>
  </w:p>
  <w:p w14:paraId="07BCBF63" w14:textId="77777777" w:rsidR="005504C4" w:rsidRDefault="005504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83B3F82"/>
    <w:multiLevelType w:val="singleLevel"/>
    <w:tmpl w:val="C83B3F82"/>
    <w:lvl w:ilvl="0">
      <w:start w:val="1"/>
      <w:numFmt w:val="decimal"/>
      <w:suff w:val="space"/>
      <w:lvlText w:val="%1."/>
      <w:lvlJc w:val="left"/>
    </w:lvl>
  </w:abstractNum>
  <w:abstractNum w:abstractNumId="1" w15:restartNumberingAfterBreak="0">
    <w:nsid w:val="00000001"/>
    <w:multiLevelType w:val="multilevel"/>
    <w:tmpl w:val="0000000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multilevel"/>
    <w:tmpl w:val="00000006"/>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B05782"/>
    <w:multiLevelType w:val="multilevel"/>
    <w:tmpl w:val="6706C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39B7271"/>
    <w:multiLevelType w:val="multilevel"/>
    <w:tmpl w:val="4006A05E"/>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5FA7705"/>
    <w:multiLevelType w:val="multilevel"/>
    <w:tmpl w:val="E0D293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7CF3C10"/>
    <w:multiLevelType w:val="multilevel"/>
    <w:tmpl w:val="D5DA9E7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AC31DCF"/>
    <w:multiLevelType w:val="multilevel"/>
    <w:tmpl w:val="734C9E60"/>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0D010E85"/>
    <w:multiLevelType w:val="multilevel"/>
    <w:tmpl w:val="8FB24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D6A4E6F"/>
    <w:multiLevelType w:val="multilevel"/>
    <w:tmpl w:val="6984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AB17DB"/>
    <w:multiLevelType w:val="multilevel"/>
    <w:tmpl w:val="B6045156"/>
    <w:lvl w:ilvl="0">
      <w:start w:val="1"/>
      <w:numFmt w:val="decimal"/>
      <w:lvlText w:val="%1."/>
      <w:lvlJc w:val="left"/>
      <w:pPr>
        <w:ind w:left="824" w:hanging="284"/>
      </w:pPr>
      <w:rPr>
        <w:rFonts w:eastAsia="Times New Roman" w:cs="Times New Roman"/>
        <w:b w:val="0"/>
        <w:bCs w:val="0"/>
        <w:i w:val="0"/>
        <w:iCs w:val="0"/>
        <w:spacing w:val="0"/>
        <w:w w:val="100"/>
        <w:sz w:val="20"/>
        <w:szCs w:val="24"/>
        <w:lang w:val="en-US" w:eastAsia="en-US" w:bidi="ar-SA"/>
      </w:rPr>
    </w:lvl>
    <w:lvl w:ilvl="1">
      <w:numFmt w:val="bullet"/>
      <w:lvlText w:val=""/>
      <w:lvlJc w:val="left"/>
      <w:pPr>
        <w:ind w:left="1724" w:hanging="284"/>
      </w:pPr>
      <w:rPr>
        <w:rFonts w:ascii="Symbol" w:hAnsi="Symbol" w:cs="Symbol" w:hint="default"/>
        <w:lang w:val="en-US" w:eastAsia="en-US" w:bidi="ar-SA"/>
      </w:rPr>
    </w:lvl>
    <w:lvl w:ilvl="2">
      <w:numFmt w:val="bullet"/>
      <w:lvlText w:val=""/>
      <w:lvlJc w:val="left"/>
      <w:pPr>
        <w:ind w:left="2628" w:hanging="284"/>
      </w:pPr>
      <w:rPr>
        <w:rFonts w:ascii="Symbol" w:hAnsi="Symbol" w:cs="Symbol" w:hint="default"/>
        <w:lang w:val="en-US" w:eastAsia="en-US" w:bidi="ar-SA"/>
      </w:rPr>
    </w:lvl>
    <w:lvl w:ilvl="3">
      <w:numFmt w:val="bullet"/>
      <w:lvlText w:val=""/>
      <w:lvlJc w:val="left"/>
      <w:pPr>
        <w:ind w:left="3532" w:hanging="284"/>
      </w:pPr>
      <w:rPr>
        <w:rFonts w:ascii="Symbol" w:hAnsi="Symbol" w:cs="Symbol" w:hint="default"/>
        <w:lang w:val="en-US" w:eastAsia="en-US" w:bidi="ar-SA"/>
      </w:rPr>
    </w:lvl>
    <w:lvl w:ilvl="4">
      <w:numFmt w:val="bullet"/>
      <w:lvlText w:val=""/>
      <w:lvlJc w:val="left"/>
      <w:pPr>
        <w:ind w:left="4436" w:hanging="284"/>
      </w:pPr>
      <w:rPr>
        <w:rFonts w:ascii="Symbol" w:hAnsi="Symbol" w:cs="Symbol" w:hint="default"/>
        <w:lang w:val="en-US" w:eastAsia="en-US" w:bidi="ar-SA"/>
      </w:rPr>
    </w:lvl>
    <w:lvl w:ilvl="5">
      <w:numFmt w:val="bullet"/>
      <w:lvlText w:val=""/>
      <w:lvlJc w:val="left"/>
      <w:pPr>
        <w:ind w:left="5340" w:hanging="284"/>
      </w:pPr>
      <w:rPr>
        <w:rFonts w:ascii="Symbol" w:hAnsi="Symbol" w:cs="Symbol" w:hint="default"/>
        <w:lang w:val="en-US" w:eastAsia="en-US" w:bidi="ar-SA"/>
      </w:rPr>
    </w:lvl>
    <w:lvl w:ilvl="6">
      <w:numFmt w:val="bullet"/>
      <w:lvlText w:val=""/>
      <w:lvlJc w:val="left"/>
      <w:pPr>
        <w:ind w:left="6244" w:hanging="284"/>
      </w:pPr>
      <w:rPr>
        <w:rFonts w:ascii="Symbol" w:hAnsi="Symbol" w:cs="Symbol" w:hint="default"/>
        <w:lang w:val="en-US" w:eastAsia="en-US" w:bidi="ar-SA"/>
      </w:rPr>
    </w:lvl>
    <w:lvl w:ilvl="7">
      <w:numFmt w:val="bullet"/>
      <w:lvlText w:val=""/>
      <w:lvlJc w:val="left"/>
      <w:pPr>
        <w:ind w:left="7148" w:hanging="284"/>
      </w:pPr>
      <w:rPr>
        <w:rFonts w:ascii="Symbol" w:hAnsi="Symbol" w:cs="Symbol" w:hint="default"/>
        <w:lang w:val="en-US" w:eastAsia="en-US" w:bidi="ar-SA"/>
      </w:rPr>
    </w:lvl>
    <w:lvl w:ilvl="8">
      <w:numFmt w:val="bullet"/>
      <w:lvlText w:val=""/>
      <w:lvlJc w:val="left"/>
      <w:pPr>
        <w:ind w:left="8052" w:hanging="284"/>
      </w:pPr>
      <w:rPr>
        <w:rFonts w:ascii="Symbol" w:hAnsi="Symbol" w:cs="Symbol" w:hint="default"/>
        <w:lang w:val="en-US" w:eastAsia="en-US" w:bidi="ar-SA"/>
      </w:rPr>
    </w:lvl>
  </w:abstractNum>
  <w:abstractNum w:abstractNumId="16" w15:restartNumberingAfterBreak="0">
    <w:nsid w:val="1EC76BD0"/>
    <w:multiLevelType w:val="hybridMultilevel"/>
    <w:tmpl w:val="BAA03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5D2365"/>
    <w:multiLevelType w:val="multilevel"/>
    <w:tmpl w:val="296C5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69798E"/>
    <w:multiLevelType w:val="hybridMultilevel"/>
    <w:tmpl w:val="ECF06A52"/>
    <w:lvl w:ilvl="0" w:tplc="6970834E">
      <w:start w:val="1"/>
      <w:numFmt w:val="decimal"/>
      <w:lvlText w:val="%1."/>
      <w:lvlJc w:val="left"/>
      <w:pPr>
        <w:ind w:left="644" w:hanging="360"/>
      </w:pPr>
      <w:rPr>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51516D"/>
    <w:multiLevelType w:val="hybridMultilevel"/>
    <w:tmpl w:val="071635F4"/>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20" w15:restartNumberingAfterBreak="0">
    <w:nsid w:val="258805C0"/>
    <w:multiLevelType w:val="multilevel"/>
    <w:tmpl w:val="852673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292067D2"/>
    <w:multiLevelType w:val="multilevel"/>
    <w:tmpl w:val="47B45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97D65BB"/>
    <w:multiLevelType w:val="hybridMultilevel"/>
    <w:tmpl w:val="E934EDB8"/>
    <w:lvl w:ilvl="0" w:tplc="4036C794">
      <w:start w:val="1"/>
      <w:numFmt w:val="decimal"/>
      <w:lvlText w:val="%1."/>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16863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6C6B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62CE84">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AFE0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67CCA">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D0FBAC">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2EBBE">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3E6E2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EE6C92"/>
    <w:multiLevelType w:val="multilevel"/>
    <w:tmpl w:val="937698F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D75E90"/>
    <w:multiLevelType w:val="hybridMultilevel"/>
    <w:tmpl w:val="A6E8A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E77503"/>
    <w:multiLevelType w:val="hybridMultilevel"/>
    <w:tmpl w:val="FECA296E"/>
    <w:lvl w:ilvl="0" w:tplc="AC0829E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683114"/>
    <w:multiLevelType w:val="multilevel"/>
    <w:tmpl w:val="F6DA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D46C7F"/>
    <w:multiLevelType w:val="hybridMultilevel"/>
    <w:tmpl w:val="3AD4201C"/>
    <w:numStyleLink w:val="Zaimportowanystyl1"/>
  </w:abstractNum>
  <w:abstractNum w:abstractNumId="28" w15:restartNumberingAfterBreak="0">
    <w:nsid w:val="3A8824B0"/>
    <w:multiLevelType w:val="multilevel"/>
    <w:tmpl w:val="7DAE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E5634EB"/>
    <w:multiLevelType w:val="multilevel"/>
    <w:tmpl w:val="AD6A2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41C2900"/>
    <w:multiLevelType w:val="multilevel"/>
    <w:tmpl w:val="3592A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1B63CC"/>
    <w:multiLevelType w:val="hybridMultilevel"/>
    <w:tmpl w:val="92100EBE"/>
    <w:lvl w:ilvl="0" w:tplc="8384E88A">
      <w:start w:val="2"/>
      <w:numFmt w:val="decimal"/>
      <w:lvlText w:val="%1."/>
      <w:lvlJc w:val="left"/>
      <w:pPr>
        <w:ind w:left="240" w:hanging="360"/>
      </w:pPr>
      <w:rPr>
        <w:rFonts w:hint="default"/>
      </w:rPr>
    </w:lvl>
    <w:lvl w:ilvl="1" w:tplc="04150019">
      <w:start w:val="1"/>
      <w:numFmt w:val="lowerLetter"/>
      <w:lvlText w:val="%2."/>
      <w:lvlJc w:val="left"/>
      <w:pPr>
        <w:ind w:left="960" w:hanging="360"/>
      </w:pPr>
    </w:lvl>
    <w:lvl w:ilvl="2" w:tplc="0415001B" w:tentative="1">
      <w:start w:val="1"/>
      <w:numFmt w:val="lowerRoman"/>
      <w:lvlText w:val="%3."/>
      <w:lvlJc w:val="right"/>
      <w:pPr>
        <w:ind w:left="1680" w:hanging="180"/>
      </w:pPr>
    </w:lvl>
    <w:lvl w:ilvl="3" w:tplc="0415000F" w:tentative="1">
      <w:start w:val="1"/>
      <w:numFmt w:val="decimal"/>
      <w:lvlText w:val="%4."/>
      <w:lvlJc w:val="left"/>
      <w:pPr>
        <w:ind w:left="2400" w:hanging="360"/>
      </w:pPr>
    </w:lvl>
    <w:lvl w:ilvl="4" w:tplc="04150019" w:tentative="1">
      <w:start w:val="1"/>
      <w:numFmt w:val="lowerLetter"/>
      <w:lvlText w:val="%5."/>
      <w:lvlJc w:val="left"/>
      <w:pPr>
        <w:ind w:left="3120" w:hanging="360"/>
      </w:pPr>
    </w:lvl>
    <w:lvl w:ilvl="5" w:tplc="0415001B" w:tentative="1">
      <w:start w:val="1"/>
      <w:numFmt w:val="lowerRoman"/>
      <w:lvlText w:val="%6."/>
      <w:lvlJc w:val="right"/>
      <w:pPr>
        <w:ind w:left="3840" w:hanging="180"/>
      </w:pPr>
    </w:lvl>
    <w:lvl w:ilvl="6" w:tplc="0415000F" w:tentative="1">
      <w:start w:val="1"/>
      <w:numFmt w:val="decimal"/>
      <w:lvlText w:val="%7."/>
      <w:lvlJc w:val="left"/>
      <w:pPr>
        <w:ind w:left="4560" w:hanging="360"/>
      </w:pPr>
    </w:lvl>
    <w:lvl w:ilvl="7" w:tplc="04150019" w:tentative="1">
      <w:start w:val="1"/>
      <w:numFmt w:val="lowerLetter"/>
      <w:lvlText w:val="%8."/>
      <w:lvlJc w:val="left"/>
      <w:pPr>
        <w:ind w:left="5280" w:hanging="360"/>
      </w:pPr>
    </w:lvl>
    <w:lvl w:ilvl="8" w:tplc="0415001B" w:tentative="1">
      <w:start w:val="1"/>
      <w:numFmt w:val="lowerRoman"/>
      <w:lvlText w:val="%9."/>
      <w:lvlJc w:val="right"/>
      <w:pPr>
        <w:ind w:left="6000" w:hanging="180"/>
      </w:pPr>
    </w:lvl>
  </w:abstractNum>
  <w:abstractNum w:abstractNumId="32" w15:restartNumberingAfterBreak="0">
    <w:nsid w:val="45E10824"/>
    <w:multiLevelType w:val="hybridMultilevel"/>
    <w:tmpl w:val="EA0C6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7F40CE1"/>
    <w:multiLevelType w:val="multilevel"/>
    <w:tmpl w:val="8AB49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89B36A6"/>
    <w:multiLevelType w:val="hybridMultilevel"/>
    <w:tmpl w:val="7E6EAEB2"/>
    <w:styleLink w:val="Zaimportowanystyl2"/>
    <w:lvl w:ilvl="0" w:tplc="5EBE2D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B0D65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8C0C90">
      <w:start w:val="1"/>
      <w:numFmt w:val="lowerRoman"/>
      <w:lvlText w:val="%3."/>
      <w:lvlJc w:val="left"/>
      <w:pPr>
        <w:ind w:left="216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502AD4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CCB5E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1248CA">
      <w:start w:val="1"/>
      <w:numFmt w:val="lowerRoman"/>
      <w:lvlText w:val="%6."/>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DAA0E6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F473F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5887B1C">
      <w:start w:val="1"/>
      <w:numFmt w:val="lowerRoman"/>
      <w:lvlText w:val="%9."/>
      <w:lvlJc w:val="left"/>
      <w:pPr>
        <w:ind w:left="648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48DB3C21"/>
    <w:multiLevelType w:val="hybridMultilevel"/>
    <w:tmpl w:val="02445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A03167C"/>
    <w:multiLevelType w:val="hybridMultilevel"/>
    <w:tmpl w:val="8BA815EE"/>
    <w:lvl w:ilvl="0" w:tplc="8D2681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2CD006">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9EE4B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566D26">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CEF8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07A7C">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DA339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CA03F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900B58">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EFD093C"/>
    <w:multiLevelType w:val="multilevel"/>
    <w:tmpl w:val="D00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8177C3"/>
    <w:multiLevelType w:val="multilevel"/>
    <w:tmpl w:val="94D4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4383805"/>
    <w:multiLevelType w:val="multilevel"/>
    <w:tmpl w:val="91BC79F6"/>
    <w:lvl w:ilvl="0">
      <w:start w:val="1"/>
      <w:numFmt w:val="decimal"/>
      <w:lvlText w:val="%1."/>
      <w:lvlJc w:val="left"/>
      <w:pPr>
        <w:ind w:left="3992" w:hanging="151"/>
      </w:pPr>
      <w:rPr>
        <w:rFonts w:eastAsia="Times New Roman" w:cs="Times New Roman"/>
        <w:b/>
        <w:bCs/>
        <w:i w:val="0"/>
        <w:iCs w:val="0"/>
        <w:color w:val="2F2F2F"/>
        <w:spacing w:val="-1"/>
        <w:w w:val="96"/>
        <w:sz w:val="18"/>
        <w:szCs w:val="18"/>
        <w:lang w:val="en-US" w:eastAsia="en-US" w:bidi="ar-SA"/>
      </w:rPr>
    </w:lvl>
    <w:lvl w:ilvl="1">
      <w:numFmt w:val="bullet"/>
      <w:lvlText w:val=""/>
      <w:lvlJc w:val="left"/>
      <w:pPr>
        <w:ind w:left="4586" w:hanging="151"/>
      </w:pPr>
      <w:rPr>
        <w:rFonts w:ascii="Symbol" w:hAnsi="Symbol" w:cs="Symbol" w:hint="default"/>
        <w:lang w:val="en-US" w:eastAsia="en-US" w:bidi="ar-SA"/>
      </w:rPr>
    </w:lvl>
    <w:lvl w:ilvl="2">
      <w:numFmt w:val="bullet"/>
      <w:lvlText w:val=""/>
      <w:lvlJc w:val="left"/>
      <w:pPr>
        <w:ind w:left="5172" w:hanging="151"/>
      </w:pPr>
      <w:rPr>
        <w:rFonts w:ascii="Symbol" w:hAnsi="Symbol" w:cs="Symbol" w:hint="default"/>
        <w:lang w:val="en-US" w:eastAsia="en-US" w:bidi="ar-SA"/>
      </w:rPr>
    </w:lvl>
    <w:lvl w:ilvl="3">
      <w:numFmt w:val="bullet"/>
      <w:lvlText w:val=""/>
      <w:lvlJc w:val="left"/>
      <w:pPr>
        <w:ind w:left="5758" w:hanging="151"/>
      </w:pPr>
      <w:rPr>
        <w:rFonts w:ascii="Symbol" w:hAnsi="Symbol" w:cs="Symbol" w:hint="default"/>
        <w:lang w:val="en-US" w:eastAsia="en-US" w:bidi="ar-SA"/>
      </w:rPr>
    </w:lvl>
    <w:lvl w:ilvl="4">
      <w:numFmt w:val="bullet"/>
      <w:lvlText w:val=""/>
      <w:lvlJc w:val="left"/>
      <w:pPr>
        <w:ind w:left="6344" w:hanging="151"/>
      </w:pPr>
      <w:rPr>
        <w:rFonts w:ascii="Symbol" w:hAnsi="Symbol" w:cs="Symbol" w:hint="default"/>
        <w:lang w:val="en-US" w:eastAsia="en-US" w:bidi="ar-SA"/>
      </w:rPr>
    </w:lvl>
    <w:lvl w:ilvl="5">
      <w:numFmt w:val="bullet"/>
      <w:lvlText w:val=""/>
      <w:lvlJc w:val="left"/>
      <w:pPr>
        <w:ind w:left="6930" w:hanging="151"/>
      </w:pPr>
      <w:rPr>
        <w:rFonts w:ascii="Symbol" w:hAnsi="Symbol" w:cs="Symbol" w:hint="default"/>
        <w:lang w:val="en-US" w:eastAsia="en-US" w:bidi="ar-SA"/>
      </w:rPr>
    </w:lvl>
    <w:lvl w:ilvl="6">
      <w:numFmt w:val="bullet"/>
      <w:lvlText w:val=""/>
      <w:lvlJc w:val="left"/>
      <w:pPr>
        <w:ind w:left="7516" w:hanging="151"/>
      </w:pPr>
      <w:rPr>
        <w:rFonts w:ascii="Symbol" w:hAnsi="Symbol" w:cs="Symbol" w:hint="default"/>
        <w:lang w:val="en-US" w:eastAsia="en-US" w:bidi="ar-SA"/>
      </w:rPr>
    </w:lvl>
    <w:lvl w:ilvl="7">
      <w:numFmt w:val="bullet"/>
      <w:lvlText w:val=""/>
      <w:lvlJc w:val="left"/>
      <w:pPr>
        <w:ind w:left="8102" w:hanging="151"/>
      </w:pPr>
      <w:rPr>
        <w:rFonts w:ascii="Symbol" w:hAnsi="Symbol" w:cs="Symbol" w:hint="default"/>
        <w:lang w:val="en-US" w:eastAsia="en-US" w:bidi="ar-SA"/>
      </w:rPr>
    </w:lvl>
    <w:lvl w:ilvl="8">
      <w:numFmt w:val="bullet"/>
      <w:lvlText w:val=""/>
      <w:lvlJc w:val="left"/>
      <w:pPr>
        <w:ind w:left="8688" w:hanging="151"/>
      </w:pPr>
      <w:rPr>
        <w:rFonts w:ascii="Symbol" w:hAnsi="Symbol" w:cs="Symbol" w:hint="default"/>
        <w:lang w:val="en-US" w:eastAsia="en-US" w:bidi="ar-SA"/>
      </w:rPr>
    </w:lvl>
  </w:abstractNum>
  <w:abstractNum w:abstractNumId="40" w15:restartNumberingAfterBreak="0">
    <w:nsid w:val="55B96EAE"/>
    <w:multiLevelType w:val="multilevel"/>
    <w:tmpl w:val="CB8A0F5C"/>
    <w:lvl w:ilvl="0">
      <w:start w:val="1"/>
      <w:numFmt w:val="decimal"/>
      <w:lvlText w:val="%1."/>
      <w:lvlJc w:val="left"/>
      <w:pPr>
        <w:ind w:left="720" w:hanging="360"/>
      </w:pPr>
      <w:rPr>
        <w:rFonts w:ascii="Times New Roman" w:eastAsia="Times New Roman" w:hAnsi="Times New Roman" w:cs="Times New Roman"/>
        <w:b/>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6C75FB7"/>
    <w:multiLevelType w:val="multilevel"/>
    <w:tmpl w:val="83A6138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15:restartNumberingAfterBreak="0">
    <w:nsid w:val="5D346872"/>
    <w:multiLevelType w:val="multilevel"/>
    <w:tmpl w:val="6706C6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60AC7FC7"/>
    <w:multiLevelType w:val="hybridMultilevel"/>
    <w:tmpl w:val="AF108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50F4E24"/>
    <w:multiLevelType w:val="multilevel"/>
    <w:tmpl w:val="0BEA7496"/>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66CA1B88"/>
    <w:multiLevelType w:val="hybridMultilevel"/>
    <w:tmpl w:val="8F866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DA6139"/>
    <w:multiLevelType w:val="hybridMultilevel"/>
    <w:tmpl w:val="7646E7DE"/>
    <w:lvl w:ilvl="0" w:tplc="C9F8D8F6">
      <w:start w:val="1"/>
      <w:numFmt w:val="decimal"/>
      <w:lvlText w:val="%1."/>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A0C1DF7"/>
    <w:multiLevelType w:val="hybridMultilevel"/>
    <w:tmpl w:val="96721B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215F6E"/>
    <w:multiLevelType w:val="multilevel"/>
    <w:tmpl w:val="94E8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E6856F8"/>
    <w:multiLevelType w:val="multilevel"/>
    <w:tmpl w:val="72164B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6F9026FB"/>
    <w:multiLevelType w:val="multilevel"/>
    <w:tmpl w:val="4EB0309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0802CFD"/>
    <w:multiLevelType w:val="multilevel"/>
    <w:tmpl w:val="70802CF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5145F1C"/>
    <w:multiLevelType w:val="multilevel"/>
    <w:tmpl w:val="FFF608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786" w:hanging="360"/>
      </w:pPr>
      <w:rPr>
        <w:b/>
        <w:color w:val="00000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66B34C9"/>
    <w:multiLevelType w:val="hybridMultilevel"/>
    <w:tmpl w:val="11EC04B8"/>
    <w:lvl w:ilvl="0" w:tplc="8AE05E8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C71878"/>
    <w:multiLevelType w:val="multilevel"/>
    <w:tmpl w:val="B98E3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B8149B6"/>
    <w:multiLevelType w:val="hybridMultilevel"/>
    <w:tmpl w:val="3AD4201C"/>
    <w:styleLink w:val="Zaimportowanystyl1"/>
    <w:lvl w:ilvl="0" w:tplc="3CBC4E16">
      <w:start w:val="1"/>
      <w:numFmt w:val="decimal"/>
      <w:lvlText w:val="%1."/>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8A6D9CE">
      <w:start w:val="1"/>
      <w:numFmt w:val="lowerLetter"/>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68A8636">
      <w:start w:val="1"/>
      <w:numFmt w:val="lowerRoman"/>
      <w:lvlText w:val="%3."/>
      <w:lvlJc w:val="left"/>
      <w:pPr>
        <w:ind w:left="2160" w:hanging="3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3103B8A">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B78EB0A">
      <w:start w:val="1"/>
      <w:numFmt w:val="lowerLetter"/>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E76424E">
      <w:start w:val="1"/>
      <w:numFmt w:val="lowerRoman"/>
      <w:lvlText w:val="%6."/>
      <w:lvlJc w:val="left"/>
      <w:pPr>
        <w:ind w:left="4320" w:hanging="3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58C8B30">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7148C00">
      <w:start w:val="1"/>
      <w:numFmt w:val="lowerLetter"/>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692C828">
      <w:start w:val="1"/>
      <w:numFmt w:val="lowerRoman"/>
      <w:lvlText w:val="%9."/>
      <w:lvlJc w:val="left"/>
      <w:pPr>
        <w:ind w:left="6480" w:hanging="3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F746109"/>
    <w:multiLevelType w:val="hybridMultilevel"/>
    <w:tmpl w:val="7E6EAEB2"/>
    <w:numStyleLink w:val="Zaimportowanystyl2"/>
  </w:abstractNum>
  <w:num w:numId="1" w16cid:durableId="61145803">
    <w:abstractNumId w:val="41"/>
  </w:num>
  <w:num w:numId="2" w16cid:durableId="643923668">
    <w:abstractNumId w:val="24"/>
  </w:num>
  <w:num w:numId="3" w16cid:durableId="680199095">
    <w:abstractNumId w:val="23"/>
  </w:num>
  <w:num w:numId="4" w16cid:durableId="1826582607">
    <w:abstractNumId w:val="29"/>
  </w:num>
  <w:num w:numId="5" w16cid:durableId="575745091">
    <w:abstractNumId w:val="47"/>
  </w:num>
  <w:num w:numId="6" w16cid:durableId="1754008414">
    <w:abstractNumId w:val="50"/>
  </w:num>
  <w:num w:numId="7" w16cid:durableId="398133186">
    <w:abstractNumId w:val="9"/>
  </w:num>
  <w:num w:numId="8" w16cid:durableId="666322058">
    <w:abstractNumId w:val="16"/>
  </w:num>
  <w:num w:numId="9" w16cid:durableId="165487924">
    <w:abstractNumId w:val="26"/>
  </w:num>
  <w:num w:numId="10" w16cid:durableId="55788645">
    <w:abstractNumId w:val="36"/>
  </w:num>
  <w:num w:numId="11" w16cid:durableId="1913269100">
    <w:abstractNumId w:val="49"/>
  </w:num>
  <w:num w:numId="12" w16cid:durableId="757291370">
    <w:abstractNumId w:val="10"/>
  </w:num>
  <w:num w:numId="13" w16cid:durableId="136730777">
    <w:abstractNumId w:val="17"/>
  </w:num>
  <w:num w:numId="14" w16cid:durableId="1479152605">
    <w:abstractNumId w:val="31"/>
  </w:num>
  <w:num w:numId="15" w16cid:durableId="599410378">
    <w:abstractNumId w:val="40"/>
  </w:num>
  <w:num w:numId="16" w16cid:durableId="1997295645">
    <w:abstractNumId w:val="21"/>
  </w:num>
  <w:num w:numId="17" w16cid:durableId="643848061">
    <w:abstractNumId w:val="18"/>
  </w:num>
  <w:num w:numId="18" w16cid:durableId="2040230490">
    <w:abstractNumId w:val="11"/>
  </w:num>
  <w:num w:numId="19" w16cid:durableId="1375496557">
    <w:abstractNumId w:val="12"/>
  </w:num>
  <w:num w:numId="20" w16cid:durableId="1163543167">
    <w:abstractNumId w:val="54"/>
  </w:num>
  <w:num w:numId="21" w16cid:durableId="1276135004">
    <w:abstractNumId w:val="13"/>
  </w:num>
  <w:num w:numId="22" w16cid:durableId="212548551">
    <w:abstractNumId w:val="44"/>
  </w:num>
  <w:num w:numId="23" w16cid:durableId="832449002">
    <w:abstractNumId w:val="33"/>
  </w:num>
  <w:num w:numId="24" w16cid:durableId="173763647">
    <w:abstractNumId w:val="52"/>
  </w:num>
  <w:num w:numId="25" w16cid:durableId="1821456877">
    <w:abstractNumId w:val="48"/>
  </w:num>
  <w:num w:numId="26" w16cid:durableId="462620973">
    <w:abstractNumId w:val="30"/>
  </w:num>
  <w:num w:numId="27" w16cid:durableId="849835711">
    <w:abstractNumId w:val="38"/>
  </w:num>
  <w:num w:numId="28" w16cid:durableId="575936779">
    <w:abstractNumId w:val="45"/>
  </w:num>
  <w:num w:numId="29" w16cid:durableId="1814176678">
    <w:abstractNumId w:val="55"/>
  </w:num>
  <w:num w:numId="30" w16cid:durableId="264729999">
    <w:abstractNumId w:val="27"/>
  </w:num>
  <w:num w:numId="31" w16cid:durableId="1844934586">
    <w:abstractNumId w:val="34"/>
  </w:num>
  <w:num w:numId="32" w16cid:durableId="972948660">
    <w:abstractNumId w:val="56"/>
  </w:num>
  <w:num w:numId="33" w16cid:durableId="2084796505">
    <w:abstractNumId w:val="1"/>
  </w:num>
  <w:num w:numId="34" w16cid:durableId="1373648644">
    <w:abstractNumId w:val="2"/>
  </w:num>
  <w:num w:numId="35" w16cid:durableId="1125659569">
    <w:abstractNumId w:val="3"/>
  </w:num>
  <w:num w:numId="36" w16cid:durableId="1500776192">
    <w:abstractNumId w:val="4"/>
  </w:num>
  <w:num w:numId="37" w16cid:durableId="1024984777">
    <w:abstractNumId w:val="5"/>
  </w:num>
  <w:num w:numId="38" w16cid:durableId="210650366">
    <w:abstractNumId w:val="6"/>
  </w:num>
  <w:num w:numId="39" w16cid:durableId="195503973">
    <w:abstractNumId w:val="7"/>
  </w:num>
  <w:num w:numId="40" w16cid:durableId="1493834121">
    <w:abstractNumId w:val="43"/>
  </w:num>
  <w:num w:numId="41" w16cid:durableId="157506799">
    <w:abstractNumId w:val="20"/>
  </w:num>
  <w:num w:numId="42" w16cid:durableId="637805904">
    <w:abstractNumId w:val="22"/>
  </w:num>
  <w:num w:numId="43" w16cid:durableId="1550191125">
    <w:abstractNumId w:val="37"/>
  </w:num>
  <w:num w:numId="44" w16cid:durableId="1270774855">
    <w:abstractNumId w:val="51"/>
  </w:num>
  <w:num w:numId="45" w16cid:durableId="74010972">
    <w:abstractNumId w:val="15"/>
  </w:num>
  <w:num w:numId="46" w16cid:durableId="481313544">
    <w:abstractNumId w:val="39"/>
  </w:num>
  <w:num w:numId="47" w16cid:durableId="256600492">
    <w:abstractNumId w:val="42"/>
  </w:num>
  <w:num w:numId="48" w16cid:durableId="1616251250">
    <w:abstractNumId w:val="8"/>
  </w:num>
  <w:num w:numId="49" w16cid:durableId="1350911275">
    <w:abstractNumId w:val="14"/>
  </w:num>
  <w:num w:numId="50" w16cid:durableId="260141880">
    <w:abstractNumId w:val="46"/>
  </w:num>
  <w:num w:numId="51" w16cid:durableId="855730237">
    <w:abstractNumId w:val="25"/>
  </w:num>
  <w:num w:numId="52" w16cid:durableId="1178274750">
    <w:abstractNumId w:val="28"/>
  </w:num>
  <w:num w:numId="53" w16cid:durableId="977808545">
    <w:abstractNumId w:val="53"/>
  </w:num>
  <w:num w:numId="54" w16cid:durableId="2029524821">
    <w:abstractNumId w:val="0"/>
  </w:num>
  <w:num w:numId="55" w16cid:durableId="1396706381">
    <w:abstractNumId w:val="19"/>
  </w:num>
  <w:num w:numId="56" w16cid:durableId="371270903">
    <w:abstractNumId w:val="32"/>
  </w:num>
  <w:num w:numId="57" w16cid:durableId="83618655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3"/>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AC4"/>
    <w:rsid w:val="000000F5"/>
    <w:rsid w:val="00000C1A"/>
    <w:rsid w:val="000050C9"/>
    <w:rsid w:val="00005F09"/>
    <w:rsid w:val="0001024F"/>
    <w:rsid w:val="00024B47"/>
    <w:rsid w:val="00034883"/>
    <w:rsid w:val="0004162C"/>
    <w:rsid w:val="000553F7"/>
    <w:rsid w:val="00067D48"/>
    <w:rsid w:val="000A381E"/>
    <w:rsid w:val="000D61FD"/>
    <w:rsid w:val="000E1907"/>
    <w:rsid w:val="000F0009"/>
    <w:rsid w:val="00111848"/>
    <w:rsid w:val="00111B6D"/>
    <w:rsid w:val="00116AB0"/>
    <w:rsid w:val="00122D5F"/>
    <w:rsid w:val="0014628D"/>
    <w:rsid w:val="001465B4"/>
    <w:rsid w:val="001605FB"/>
    <w:rsid w:val="00162654"/>
    <w:rsid w:val="0016503D"/>
    <w:rsid w:val="00193226"/>
    <w:rsid w:val="00197248"/>
    <w:rsid w:val="001B334C"/>
    <w:rsid w:val="001F303F"/>
    <w:rsid w:val="001F5929"/>
    <w:rsid w:val="00210838"/>
    <w:rsid w:val="002245B0"/>
    <w:rsid w:val="00246B83"/>
    <w:rsid w:val="00260B72"/>
    <w:rsid w:val="00264D5E"/>
    <w:rsid w:val="002737A9"/>
    <w:rsid w:val="00281F3F"/>
    <w:rsid w:val="00291EEF"/>
    <w:rsid w:val="002A0021"/>
    <w:rsid w:val="002B4A22"/>
    <w:rsid w:val="002C67CE"/>
    <w:rsid w:val="002E057E"/>
    <w:rsid w:val="002E6D96"/>
    <w:rsid w:val="002F0C2F"/>
    <w:rsid w:val="002F5AD2"/>
    <w:rsid w:val="0030279B"/>
    <w:rsid w:val="00302EBD"/>
    <w:rsid w:val="00305AF0"/>
    <w:rsid w:val="00306D5A"/>
    <w:rsid w:val="00313B3D"/>
    <w:rsid w:val="00317649"/>
    <w:rsid w:val="003219F6"/>
    <w:rsid w:val="00325C47"/>
    <w:rsid w:val="003279A2"/>
    <w:rsid w:val="0035492C"/>
    <w:rsid w:val="00361C4F"/>
    <w:rsid w:val="003637AF"/>
    <w:rsid w:val="003647F6"/>
    <w:rsid w:val="00366BC6"/>
    <w:rsid w:val="003869EA"/>
    <w:rsid w:val="003939CF"/>
    <w:rsid w:val="003A7E71"/>
    <w:rsid w:val="003B0634"/>
    <w:rsid w:val="003B17AB"/>
    <w:rsid w:val="003B7B59"/>
    <w:rsid w:val="003D09A5"/>
    <w:rsid w:val="003D6336"/>
    <w:rsid w:val="003E2291"/>
    <w:rsid w:val="003E67C0"/>
    <w:rsid w:val="003F3321"/>
    <w:rsid w:val="0040157B"/>
    <w:rsid w:val="00402350"/>
    <w:rsid w:val="004103DA"/>
    <w:rsid w:val="00411ED9"/>
    <w:rsid w:val="00421C94"/>
    <w:rsid w:val="00422795"/>
    <w:rsid w:val="004838E8"/>
    <w:rsid w:val="004846A5"/>
    <w:rsid w:val="00484F38"/>
    <w:rsid w:val="00495AC3"/>
    <w:rsid w:val="00495EF0"/>
    <w:rsid w:val="004B08A7"/>
    <w:rsid w:val="004F6721"/>
    <w:rsid w:val="004F72A7"/>
    <w:rsid w:val="00512C26"/>
    <w:rsid w:val="00513AC4"/>
    <w:rsid w:val="005165D0"/>
    <w:rsid w:val="00516AA0"/>
    <w:rsid w:val="005424AC"/>
    <w:rsid w:val="0054746C"/>
    <w:rsid w:val="0055015D"/>
    <w:rsid w:val="005504C4"/>
    <w:rsid w:val="005605A5"/>
    <w:rsid w:val="00582C50"/>
    <w:rsid w:val="005877D2"/>
    <w:rsid w:val="005A1D26"/>
    <w:rsid w:val="005A7B82"/>
    <w:rsid w:val="005B3576"/>
    <w:rsid w:val="005D156F"/>
    <w:rsid w:val="005D35EB"/>
    <w:rsid w:val="005E25F0"/>
    <w:rsid w:val="00606E59"/>
    <w:rsid w:val="0061250E"/>
    <w:rsid w:val="00615177"/>
    <w:rsid w:val="0061629D"/>
    <w:rsid w:val="00623681"/>
    <w:rsid w:val="00631B72"/>
    <w:rsid w:val="00634AD0"/>
    <w:rsid w:val="00637E45"/>
    <w:rsid w:val="00643FFF"/>
    <w:rsid w:val="00652628"/>
    <w:rsid w:val="00654A45"/>
    <w:rsid w:val="00655540"/>
    <w:rsid w:val="00664550"/>
    <w:rsid w:val="00664608"/>
    <w:rsid w:val="0067481B"/>
    <w:rsid w:val="006C2716"/>
    <w:rsid w:val="006C4109"/>
    <w:rsid w:val="006C4FB5"/>
    <w:rsid w:val="006D6C8B"/>
    <w:rsid w:val="006F4FF1"/>
    <w:rsid w:val="00700955"/>
    <w:rsid w:val="007113F9"/>
    <w:rsid w:val="007161E0"/>
    <w:rsid w:val="00731270"/>
    <w:rsid w:val="00733CC4"/>
    <w:rsid w:val="00737D3D"/>
    <w:rsid w:val="00742975"/>
    <w:rsid w:val="007458FE"/>
    <w:rsid w:val="007636AD"/>
    <w:rsid w:val="00766550"/>
    <w:rsid w:val="007A6AC0"/>
    <w:rsid w:val="007B4624"/>
    <w:rsid w:val="007C0225"/>
    <w:rsid w:val="007C381E"/>
    <w:rsid w:val="007C3E54"/>
    <w:rsid w:val="007C5D7A"/>
    <w:rsid w:val="007D16EB"/>
    <w:rsid w:val="007D7E62"/>
    <w:rsid w:val="007E5118"/>
    <w:rsid w:val="007F67A3"/>
    <w:rsid w:val="00823EFB"/>
    <w:rsid w:val="00831731"/>
    <w:rsid w:val="008406D7"/>
    <w:rsid w:val="00845DDB"/>
    <w:rsid w:val="00850222"/>
    <w:rsid w:val="00852982"/>
    <w:rsid w:val="00854ABF"/>
    <w:rsid w:val="00864662"/>
    <w:rsid w:val="0086596B"/>
    <w:rsid w:val="00865C70"/>
    <w:rsid w:val="008677D5"/>
    <w:rsid w:val="00871D1F"/>
    <w:rsid w:val="008837F2"/>
    <w:rsid w:val="00891BBB"/>
    <w:rsid w:val="008935A5"/>
    <w:rsid w:val="0089521C"/>
    <w:rsid w:val="008B3E9D"/>
    <w:rsid w:val="008D2251"/>
    <w:rsid w:val="008E0CF0"/>
    <w:rsid w:val="008E6D61"/>
    <w:rsid w:val="008F14FD"/>
    <w:rsid w:val="00913EEE"/>
    <w:rsid w:val="00936619"/>
    <w:rsid w:val="0095245C"/>
    <w:rsid w:val="009549C1"/>
    <w:rsid w:val="00961FCC"/>
    <w:rsid w:val="009655B9"/>
    <w:rsid w:val="009716F3"/>
    <w:rsid w:val="00975921"/>
    <w:rsid w:val="009767C1"/>
    <w:rsid w:val="00981192"/>
    <w:rsid w:val="0098222C"/>
    <w:rsid w:val="00982FFA"/>
    <w:rsid w:val="00987D70"/>
    <w:rsid w:val="009A0D54"/>
    <w:rsid w:val="009A69D9"/>
    <w:rsid w:val="009B0439"/>
    <w:rsid w:val="009C248F"/>
    <w:rsid w:val="009F2FC2"/>
    <w:rsid w:val="00A01568"/>
    <w:rsid w:val="00A02EFF"/>
    <w:rsid w:val="00A14DA6"/>
    <w:rsid w:val="00A155DB"/>
    <w:rsid w:val="00A27B74"/>
    <w:rsid w:val="00A4001D"/>
    <w:rsid w:val="00A423ED"/>
    <w:rsid w:val="00A5009A"/>
    <w:rsid w:val="00A55453"/>
    <w:rsid w:val="00A60FD4"/>
    <w:rsid w:val="00A61F6A"/>
    <w:rsid w:val="00A67168"/>
    <w:rsid w:val="00A73067"/>
    <w:rsid w:val="00A83D0B"/>
    <w:rsid w:val="00AA0618"/>
    <w:rsid w:val="00AA06DE"/>
    <w:rsid w:val="00AA4E88"/>
    <w:rsid w:val="00AB6601"/>
    <w:rsid w:val="00AD2DC7"/>
    <w:rsid w:val="00B047D1"/>
    <w:rsid w:val="00B213A6"/>
    <w:rsid w:val="00B237FC"/>
    <w:rsid w:val="00B6768B"/>
    <w:rsid w:val="00B73856"/>
    <w:rsid w:val="00B83327"/>
    <w:rsid w:val="00B85C42"/>
    <w:rsid w:val="00BA5A10"/>
    <w:rsid w:val="00BA5AD2"/>
    <w:rsid w:val="00BB10AC"/>
    <w:rsid w:val="00BB2676"/>
    <w:rsid w:val="00BB2C5C"/>
    <w:rsid w:val="00BB6D85"/>
    <w:rsid w:val="00BB7C6E"/>
    <w:rsid w:val="00BD00EC"/>
    <w:rsid w:val="00BD4A67"/>
    <w:rsid w:val="00BE0F4E"/>
    <w:rsid w:val="00BE1E0B"/>
    <w:rsid w:val="00BE43ED"/>
    <w:rsid w:val="00C02AFC"/>
    <w:rsid w:val="00C057E5"/>
    <w:rsid w:val="00C06C10"/>
    <w:rsid w:val="00C11037"/>
    <w:rsid w:val="00C31762"/>
    <w:rsid w:val="00C3404A"/>
    <w:rsid w:val="00C37F70"/>
    <w:rsid w:val="00C4291A"/>
    <w:rsid w:val="00C50B75"/>
    <w:rsid w:val="00C54F59"/>
    <w:rsid w:val="00C723AA"/>
    <w:rsid w:val="00C77F94"/>
    <w:rsid w:val="00C81E3C"/>
    <w:rsid w:val="00C8230F"/>
    <w:rsid w:val="00C94AA5"/>
    <w:rsid w:val="00CA1C05"/>
    <w:rsid w:val="00CB2019"/>
    <w:rsid w:val="00CB5545"/>
    <w:rsid w:val="00CC027E"/>
    <w:rsid w:val="00CC526A"/>
    <w:rsid w:val="00CC615F"/>
    <w:rsid w:val="00CE3ACF"/>
    <w:rsid w:val="00CF32E5"/>
    <w:rsid w:val="00CF560C"/>
    <w:rsid w:val="00D11907"/>
    <w:rsid w:val="00D13CF2"/>
    <w:rsid w:val="00D14302"/>
    <w:rsid w:val="00D25512"/>
    <w:rsid w:val="00D357BB"/>
    <w:rsid w:val="00D40B4B"/>
    <w:rsid w:val="00D55BD3"/>
    <w:rsid w:val="00D600BD"/>
    <w:rsid w:val="00D66B8E"/>
    <w:rsid w:val="00D67D80"/>
    <w:rsid w:val="00D83B0B"/>
    <w:rsid w:val="00D85664"/>
    <w:rsid w:val="00D9009B"/>
    <w:rsid w:val="00D94932"/>
    <w:rsid w:val="00DA67B9"/>
    <w:rsid w:val="00DA79F2"/>
    <w:rsid w:val="00DB1E44"/>
    <w:rsid w:val="00DB5085"/>
    <w:rsid w:val="00DC6AD0"/>
    <w:rsid w:val="00DD091A"/>
    <w:rsid w:val="00DF0B16"/>
    <w:rsid w:val="00DF1614"/>
    <w:rsid w:val="00E113DE"/>
    <w:rsid w:val="00E235C7"/>
    <w:rsid w:val="00E321D0"/>
    <w:rsid w:val="00E33778"/>
    <w:rsid w:val="00E3476A"/>
    <w:rsid w:val="00E45B5D"/>
    <w:rsid w:val="00E45F94"/>
    <w:rsid w:val="00E601FC"/>
    <w:rsid w:val="00E636A5"/>
    <w:rsid w:val="00E7637C"/>
    <w:rsid w:val="00E773C2"/>
    <w:rsid w:val="00E80654"/>
    <w:rsid w:val="00E8240B"/>
    <w:rsid w:val="00E876E4"/>
    <w:rsid w:val="00E92D60"/>
    <w:rsid w:val="00E932A4"/>
    <w:rsid w:val="00EB1517"/>
    <w:rsid w:val="00EB19F7"/>
    <w:rsid w:val="00EB4554"/>
    <w:rsid w:val="00EC7B2D"/>
    <w:rsid w:val="00ED69E0"/>
    <w:rsid w:val="00ED723A"/>
    <w:rsid w:val="00EE463F"/>
    <w:rsid w:val="00EF666E"/>
    <w:rsid w:val="00F06264"/>
    <w:rsid w:val="00F0708C"/>
    <w:rsid w:val="00F140A4"/>
    <w:rsid w:val="00F21A77"/>
    <w:rsid w:val="00F32677"/>
    <w:rsid w:val="00F33B3F"/>
    <w:rsid w:val="00F42CDD"/>
    <w:rsid w:val="00F44B90"/>
    <w:rsid w:val="00F54338"/>
    <w:rsid w:val="00F61ACC"/>
    <w:rsid w:val="00F6444C"/>
    <w:rsid w:val="00F84E0F"/>
    <w:rsid w:val="00F94161"/>
    <w:rsid w:val="00FB678F"/>
    <w:rsid w:val="00FB7E1E"/>
    <w:rsid w:val="00FC0F88"/>
    <w:rsid w:val="00FD7D22"/>
    <w:rsid w:val="00FE6227"/>
    <w:rsid w:val="00FF4900"/>
    <w:rsid w:val="07B97B5A"/>
    <w:rsid w:val="07FD392A"/>
    <w:rsid w:val="0DE3540F"/>
    <w:rsid w:val="1440384D"/>
    <w:rsid w:val="14FC12F3"/>
    <w:rsid w:val="17E064BA"/>
    <w:rsid w:val="187212AC"/>
    <w:rsid w:val="26430DD2"/>
    <w:rsid w:val="3BE35363"/>
    <w:rsid w:val="3F7F7B16"/>
    <w:rsid w:val="42480E3F"/>
    <w:rsid w:val="490C3E65"/>
    <w:rsid w:val="53385317"/>
    <w:rsid w:val="60F43DF2"/>
    <w:rsid w:val="620D6B6D"/>
    <w:rsid w:val="682B1D3A"/>
    <w:rsid w:val="6D632DD1"/>
    <w:rsid w:val="73D72D76"/>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23D0D"/>
  <w15:docId w15:val="{1B75466E-EEE9-7D4D-BA3E-558B6827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eastAsia="Times New Roman"/>
      <w:sz w:val="24"/>
      <w:szCs w:val="24"/>
    </w:rPr>
  </w:style>
  <w:style w:type="paragraph" w:styleId="Nagwek1">
    <w:name w:val="heading 1"/>
    <w:basedOn w:val="Normalny"/>
    <w:next w:val="Normalny"/>
    <w:link w:val="Nagwek1Znak"/>
    <w:uiPriority w:val="9"/>
    <w:qFormat/>
    <w:pPr>
      <w:keepNext/>
      <w:keepLines/>
      <w:spacing w:before="480" w:after="200"/>
      <w:outlineLvl w:val="0"/>
    </w:pPr>
    <w:rPr>
      <w:rFonts w:ascii="Arial" w:eastAsia="Arial" w:hAnsi="Arial" w:cs="Arial"/>
      <w:sz w:val="40"/>
      <w:szCs w:val="40"/>
    </w:rPr>
  </w:style>
  <w:style w:type="paragraph" w:styleId="Nagwek2">
    <w:name w:val="heading 2"/>
    <w:basedOn w:val="Normalny"/>
    <w:next w:val="Normalny"/>
    <w:link w:val="Nagwek2Znak"/>
    <w:uiPriority w:val="9"/>
    <w:unhideWhenUsed/>
    <w:qFormat/>
    <w:pPr>
      <w:spacing w:before="280" w:after="280"/>
      <w:outlineLvl w:val="1"/>
    </w:pPr>
    <w:rPr>
      <w:b/>
      <w:bCs/>
      <w:sz w:val="36"/>
      <w:szCs w:val="36"/>
    </w:rPr>
  </w:style>
  <w:style w:type="paragraph" w:styleId="Nagwek3">
    <w:name w:val="heading 3"/>
    <w:basedOn w:val="Normalny"/>
    <w:next w:val="Normalny"/>
    <w:link w:val="Nagwek3Znak"/>
    <w:uiPriority w:val="9"/>
    <w:unhideWhenUsed/>
    <w:qFormat/>
    <w:pPr>
      <w:keepNext/>
      <w:keepLines/>
      <w:spacing w:before="320" w:after="200"/>
      <w:outlineLvl w:val="2"/>
    </w:pPr>
    <w:rPr>
      <w:rFonts w:ascii="Arial" w:eastAsia="Arial" w:hAnsi="Arial" w:cs="Arial"/>
      <w:sz w:val="30"/>
      <w:szCs w:val="30"/>
    </w:rPr>
  </w:style>
  <w:style w:type="paragraph" w:styleId="Nagwek4">
    <w:name w:val="heading 4"/>
    <w:basedOn w:val="Normalny"/>
    <w:next w:val="Normalny"/>
    <w:link w:val="Nagwek4Znak"/>
    <w:uiPriority w:val="9"/>
    <w:unhideWhenUsed/>
    <w:qFormat/>
    <w:pPr>
      <w:keepNext/>
      <w:keepLines/>
      <w:spacing w:before="320" w:after="200"/>
      <w:outlineLvl w:val="3"/>
    </w:pPr>
    <w:rPr>
      <w:rFonts w:ascii="Arial" w:eastAsia="Arial" w:hAnsi="Arial" w:cs="Arial"/>
      <w:b/>
      <w:bCs/>
      <w:sz w:val="26"/>
      <w:szCs w:val="26"/>
    </w:rPr>
  </w:style>
  <w:style w:type="paragraph" w:styleId="Nagwek5">
    <w:name w:val="heading 5"/>
    <w:basedOn w:val="Normalny"/>
    <w:next w:val="Normalny"/>
    <w:link w:val="Nagwek5Znak"/>
    <w:uiPriority w:val="9"/>
    <w:semiHidden/>
    <w:unhideWhenUsed/>
    <w:qFormat/>
    <w:pPr>
      <w:keepNext/>
      <w:keepLines/>
      <w:spacing w:before="320" w:after="200"/>
      <w:outlineLvl w:val="4"/>
    </w:pPr>
    <w:rPr>
      <w:rFonts w:ascii="Arial" w:eastAsia="Arial" w:hAnsi="Arial" w:cs="Arial"/>
      <w:b/>
      <w:bCs/>
    </w:rPr>
  </w:style>
  <w:style w:type="paragraph" w:styleId="Nagwek6">
    <w:name w:val="heading 6"/>
    <w:basedOn w:val="Normalny"/>
    <w:next w:val="Normalny"/>
    <w:link w:val="Nagwek6Znak"/>
    <w:uiPriority w:val="9"/>
    <w:semiHidden/>
    <w:unhideWhenUsed/>
    <w:qFormat/>
    <w:pPr>
      <w:keepNext/>
      <w:keepLines/>
      <w:spacing w:before="320" w:after="200"/>
      <w:outlineLvl w:val="5"/>
    </w:pPr>
    <w:rPr>
      <w:rFonts w:ascii="Arial" w:eastAsia="Arial" w:hAnsi="Arial" w:cs="Arial"/>
      <w:b/>
      <w:bCs/>
      <w:sz w:val="22"/>
      <w:szCs w:val="22"/>
    </w:rPr>
  </w:style>
  <w:style w:type="paragraph" w:styleId="Nagwek7">
    <w:name w:val="heading 7"/>
    <w:basedOn w:val="Normalny"/>
    <w:next w:val="Normalny"/>
    <w:link w:val="Nagwek7Znak"/>
    <w:uiPriority w:val="9"/>
    <w:semiHidden/>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
    <w:uiPriority w:val="9"/>
    <w:semiHidden/>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Tahoma" w:eastAsiaTheme="minorHAnsi" w:hAnsi="Tahoma" w:cs="Tahoma"/>
      <w:sz w:val="16"/>
      <w:szCs w:val="16"/>
      <w:lang w:eastAsia="en-US"/>
    </w:rPr>
  </w:style>
  <w:style w:type="paragraph" w:styleId="Tekstpodstawowy">
    <w:name w:val="Body Text"/>
    <w:basedOn w:val="Normalny"/>
    <w:link w:val="TekstpodstawowyZnak"/>
    <w:uiPriority w:val="1"/>
    <w:unhideWhenUsed/>
    <w:qFormat/>
    <w:pPr>
      <w:suppressAutoHyphens/>
      <w:spacing w:after="140" w:line="276" w:lineRule="auto"/>
    </w:pPr>
    <w:rPr>
      <w:rFonts w:asciiTheme="minorHAnsi" w:eastAsiaTheme="minorEastAsia" w:hAnsiTheme="minorHAnsi" w:cstheme="minorBidi"/>
      <w:lang w:val="en-US" w:eastAsia="ja-JP"/>
    </w:rPr>
  </w:style>
  <w:style w:type="paragraph" w:styleId="Tekstpodstawowywcity">
    <w:name w:val="Body Text Indent"/>
    <w:basedOn w:val="Normalny"/>
    <w:uiPriority w:val="99"/>
    <w:semiHidden/>
    <w:unhideWhenUsed/>
    <w:pPr>
      <w:spacing w:line="360" w:lineRule="auto"/>
      <w:ind w:firstLine="567"/>
      <w:jc w:val="both"/>
    </w:pPr>
    <w:rPr>
      <w:rFonts w:cs="Mangal"/>
      <w:sz w:val="28"/>
      <w:szCs w:val="28"/>
    </w:rPr>
  </w:style>
  <w:style w:type="paragraph" w:styleId="Legenda">
    <w:name w:val="caption"/>
    <w:basedOn w:val="Normalny"/>
    <w:next w:val="Normalny"/>
    <w:uiPriority w:val="35"/>
    <w:unhideWhenUsed/>
    <w:qFormat/>
    <w:pPr>
      <w:spacing w:line="276" w:lineRule="auto"/>
    </w:pPr>
    <w:rPr>
      <w:b/>
      <w:bCs/>
      <w:color w:val="4F81BD" w:themeColor="accent1"/>
      <w:sz w:val="18"/>
      <w:szCs w:val="18"/>
    </w:rPr>
  </w:style>
  <w:style w:type="character" w:styleId="Odwoaniedokomentarza">
    <w:name w:val="annotation reference"/>
    <w:basedOn w:val="Domylnaczcionkaakapitu"/>
    <w:uiPriority w:val="99"/>
    <w:semiHidden/>
    <w:unhideWhenUsed/>
    <w:rPr>
      <w:rFonts w:asciiTheme="minorHAnsi" w:eastAsiaTheme="minorHAnsi" w:hAnsiTheme="minorHAnsi" w:cstheme="minorBidi"/>
      <w:sz w:val="16"/>
      <w:szCs w:val="16"/>
      <w:lang w:val="pl-PL" w:eastAsia="en-US" w:bidi="ar-SA"/>
    </w:rPr>
  </w:style>
  <w:style w:type="paragraph" w:styleId="Tekstkomentarza">
    <w:name w:val="annotation text"/>
    <w:basedOn w:val="Normalny"/>
    <w:link w:val="TekstkomentarzaZnak"/>
    <w:uiPriority w:val="99"/>
    <w:semiHidden/>
    <w:unhideWhenUsed/>
    <w:pPr>
      <w:spacing w:after="200"/>
    </w:pPr>
    <w:rPr>
      <w:rFonts w:asciiTheme="minorHAnsi" w:eastAsiaTheme="minorEastAsia" w:hAnsiTheme="minorHAnsi" w:cstheme="minorBidi"/>
      <w:sz w:val="20"/>
      <w:szCs w:val="20"/>
    </w:rPr>
  </w:style>
  <w:style w:type="paragraph" w:styleId="Tematkomentarza">
    <w:name w:val="annotation subject"/>
    <w:basedOn w:val="Tekstkomentarza"/>
    <w:next w:val="Tekstkomentarza"/>
    <w:link w:val="TematkomentarzaZnak"/>
    <w:uiPriority w:val="99"/>
    <w:semiHidden/>
    <w:unhideWhenUsed/>
    <w:qFormat/>
    <w:rPr>
      <w:b/>
      <w:bCs/>
    </w:rPr>
  </w:style>
  <w:style w:type="character" w:styleId="Uwydatnienie">
    <w:name w:val="Emphasis"/>
    <w:basedOn w:val="Domylnaczcionkaakapitu"/>
    <w:uiPriority w:val="20"/>
    <w:qFormat/>
    <w:rPr>
      <w:rFonts w:asciiTheme="minorHAnsi" w:eastAsiaTheme="minorHAnsi" w:hAnsiTheme="minorHAnsi" w:cstheme="minorBidi"/>
      <w:i/>
      <w:iCs/>
      <w:sz w:val="22"/>
      <w:szCs w:val="22"/>
      <w:lang w:val="pl-PL" w:eastAsia="en-US" w:bidi="ar-SA"/>
    </w:rPr>
  </w:style>
  <w:style w:type="character" w:styleId="Odwoanieprzypisukocowego">
    <w:name w:val="endnote reference"/>
    <w:basedOn w:val="Domylnaczcionkaakapitu"/>
    <w:uiPriority w:val="99"/>
    <w:semiHidden/>
    <w:unhideWhenUsed/>
    <w:rPr>
      <w:vertAlign w:val="superscript"/>
    </w:rPr>
  </w:style>
  <w:style w:type="paragraph" w:styleId="Tekstprzypisukocowego">
    <w:name w:val="endnote text"/>
    <w:basedOn w:val="Normalny"/>
    <w:link w:val="TekstprzypisukocowegoZnak"/>
    <w:uiPriority w:val="99"/>
    <w:semiHidden/>
    <w:unhideWhenUsed/>
    <w:rPr>
      <w:sz w:val="20"/>
    </w:rPr>
  </w:style>
  <w:style w:type="character" w:styleId="UyteHipercze">
    <w:name w:val="FollowedHyperlink"/>
    <w:basedOn w:val="Domylnaczcionkaakapitu"/>
    <w:uiPriority w:val="99"/>
    <w:semiHidden/>
    <w:unhideWhenUsed/>
    <w:rPr>
      <w:color w:val="954F72"/>
      <w:u w:val="single"/>
    </w:rPr>
  </w:style>
  <w:style w:type="paragraph" w:styleId="Stopka">
    <w:name w:val="footer"/>
    <w:basedOn w:val="Normalny"/>
    <w:link w:val="StopkaZnak"/>
    <w:uiPriority w:val="99"/>
    <w:unhideWhenUsed/>
    <w:pPr>
      <w:tabs>
        <w:tab w:val="center" w:pos="4153"/>
        <w:tab w:val="right" w:pos="8306"/>
      </w:tabs>
    </w:pPr>
    <w:rPr>
      <w:sz w:val="18"/>
      <w:szCs w:val="18"/>
    </w:rPr>
  </w:style>
  <w:style w:type="character" w:styleId="Odwoanieprzypisudolnego">
    <w:name w:val="footnote reference"/>
    <w:basedOn w:val="Domylnaczcionkaakapitu"/>
    <w:uiPriority w:val="99"/>
    <w:semiHidden/>
    <w:unhideWhenUsed/>
    <w:rPr>
      <w:vertAlign w:val="superscript"/>
    </w:rPr>
  </w:style>
  <w:style w:type="paragraph" w:styleId="Tekstprzypisudolnego">
    <w:name w:val="footnote text"/>
    <w:basedOn w:val="Normalny"/>
    <w:link w:val="TekstprzypisudolnegoZnak1"/>
    <w:uiPriority w:val="99"/>
    <w:semiHidden/>
    <w:unhideWhenUsed/>
    <w:pPr>
      <w:spacing w:after="40"/>
    </w:pPr>
    <w:rPr>
      <w:sz w:val="18"/>
    </w:rPr>
  </w:style>
  <w:style w:type="paragraph" w:styleId="Nagwek">
    <w:name w:val="header"/>
    <w:basedOn w:val="Normalny"/>
    <w:link w:val="NagwekZnak"/>
    <w:unhideWhenUsed/>
    <w:pPr>
      <w:tabs>
        <w:tab w:val="center" w:pos="4153"/>
        <w:tab w:val="right" w:pos="8306"/>
      </w:tabs>
    </w:pPr>
    <w:rPr>
      <w:sz w:val="18"/>
      <w:szCs w:val="18"/>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ipercze">
    <w:name w:val="Hyperlink"/>
    <w:basedOn w:val="Domylnaczcionkaakapitu"/>
    <w:uiPriority w:val="99"/>
    <w:unhideWhenUsed/>
    <w:rPr>
      <w:color w:val="0000FF"/>
      <w:u w:val="single"/>
    </w:rPr>
  </w:style>
  <w:style w:type="paragraph" w:styleId="NormalnyWeb">
    <w:name w:val="Normal (Web)"/>
    <w:basedOn w:val="Normalny"/>
    <w:uiPriority w:val="99"/>
    <w:unhideWhenUsed/>
    <w:qFormat/>
    <w:pPr>
      <w:spacing w:beforeAutospacing="1" w:after="142" w:line="288" w:lineRule="auto"/>
    </w:pPr>
    <w:rPr>
      <w:rFonts w:eastAsia="Calibri"/>
      <w:sz w:val="20"/>
      <w:szCs w:val="20"/>
    </w:rPr>
  </w:style>
  <w:style w:type="character" w:styleId="Pogrubienie">
    <w:name w:val="Strong"/>
    <w:basedOn w:val="Domylnaczcionkaakapitu"/>
    <w:uiPriority w:val="22"/>
    <w:qFormat/>
    <w:rPr>
      <w:rFonts w:ascii="Arial" w:eastAsia="Arial" w:hAnsi="Arial" w:cs="Arial"/>
      <w:b/>
      <w:bCs/>
    </w:rPr>
  </w:style>
  <w:style w:type="paragraph" w:styleId="Podtytu">
    <w:name w:val="Subtitle"/>
    <w:basedOn w:val="Normalny1"/>
    <w:next w:val="Normalny1"/>
    <w:link w:val="PodtytuZnak"/>
    <w:uiPriority w:val="11"/>
    <w:qFormat/>
    <w:pPr>
      <w:spacing w:before="200" w:after="200"/>
    </w:pPr>
  </w:style>
  <w:style w:type="paragraph" w:customStyle="1" w:styleId="Normalny1">
    <w:name w:val="Normalny1"/>
    <w:pPr>
      <w:spacing w:line="276" w:lineRule="auto"/>
    </w:pPr>
    <w:rPr>
      <w:rFonts w:ascii="Arial" w:eastAsia="Arial" w:hAnsi="Arial" w:cs="Arial"/>
      <w:sz w:val="22"/>
      <w:szCs w:val="22"/>
    </w:rPr>
  </w:style>
  <w:style w:type="table" w:styleId="Tabela-Siatka">
    <w:name w:val="Table Grid"/>
    <w:basedOn w:val="Standardowy"/>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ilustracji">
    <w:name w:val="table of figures"/>
    <w:basedOn w:val="Normalny"/>
    <w:next w:val="Normalny"/>
    <w:uiPriority w:val="99"/>
    <w:semiHidden/>
    <w:unhideWhenUsed/>
  </w:style>
  <w:style w:type="paragraph" w:styleId="Tytu">
    <w:name w:val="Title"/>
    <w:basedOn w:val="Normalny"/>
    <w:next w:val="Normalny"/>
    <w:link w:val="TytuZnak"/>
    <w:uiPriority w:val="10"/>
    <w:qFormat/>
    <w:pPr>
      <w:spacing w:before="300" w:after="200"/>
      <w:contextualSpacing/>
    </w:pPr>
    <w:rPr>
      <w:sz w:val="48"/>
      <w:szCs w:val="48"/>
    </w:rPr>
  </w:style>
  <w:style w:type="paragraph" w:styleId="Spistreci1">
    <w:name w:val="toc 1"/>
    <w:basedOn w:val="Normalny"/>
    <w:next w:val="Normalny"/>
    <w:uiPriority w:val="39"/>
    <w:semiHidden/>
    <w:unhideWhenUsed/>
    <w:pPr>
      <w:spacing w:after="57"/>
    </w:pPr>
  </w:style>
  <w:style w:type="paragraph" w:styleId="Spistreci2">
    <w:name w:val="toc 2"/>
    <w:basedOn w:val="Normalny"/>
    <w:next w:val="Normalny"/>
    <w:uiPriority w:val="39"/>
    <w:semiHidden/>
    <w:unhideWhenUsed/>
    <w:pPr>
      <w:spacing w:after="57"/>
      <w:ind w:left="283"/>
    </w:pPr>
  </w:style>
  <w:style w:type="paragraph" w:styleId="Spistreci3">
    <w:name w:val="toc 3"/>
    <w:basedOn w:val="Normalny"/>
    <w:next w:val="Normalny"/>
    <w:uiPriority w:val="39"/>
    <w:semiHidden/>
    <w:unhideWhenUsed/>
    <w:pPr>
      <w:spacing w:after="57"/>
      <w:ind w:left="567"/>
    </w:pPr>
  </w:style>
  <w:style w:type="paragraph" w:styleId="Spistreci4">
    <w:name w:val="toc 4"/>
    <w:basedOn w:val="Normalny"/>
    <w:next w:val="Normalny"/>
    <w:uiPriority w:val="39"/>
    <w:semiHidden/>
    <w:unhideWhenUsed/>
    <w:pPr>
      <w:spacing w:after="57"/>
      <w:ind w:left="850"/>
    </w:pPr>
  </w:style>
  <w:style w:type="paragraph" w:styleId="Spistreci5">
    <w:name w:val="toc 5"/>
    <w:basedOn w:val="Normalny"/>
    <w:next w:val="Normalny"/>
    <w:uiPriority w:val="39"/>
    <w:semiHidden/>
    <w:unhideWhenUsed/>
    <w:pPr>
      <w:spacing w:after="57"/>
      <w:ind w:left="1134"/>
    </w:pPr>
  </w:style>
  <w:style w:type="paragraph" w:styleId="Spistreci6">
    <w:name w:val="toc 6"/>
    <w:basedOn w:val="Normalny"/>
    <w:next w:val="Normalny"/>
    <w:uiPriority w:val="39"/>
    <w:semiHidden/>
    <w:unhideWhenUsed/>
    <w:pPr>
      <w:spacing w:after="57"/>
      <w:ind w:left="1417"/>
    </w:pPr>
  </w:style>
  <w:style w:type="paragraph" w:styleId="Spistreci7">
    <w:name w:val="toc 7"/>
    <w:basedOn w:val="Normalny"/>
    <w:next w:val="Normalny"/>
    <w:uiPriority w:val="39"/>
    <w:semiHidden/>
    <w:unhideWhenUsed/>
    <w:pPr>
      <w:spacing w:after="57"/>
      <w:ind w:left="1701"/>
    </w:pPr>
  </w:style>
  <w:style w:type="paragraph" w:styleId="Spistreci8">
    <w:name w:val="toc 8"/>
    <w:basedOn w:val="Normalny"/>
    <w:next w:val="Normalny"/>
    <w:uiPriority w:val="39"/>
    <w:semiHidden/>
    <w:unhideWhenUsed/>
    <w:pPr>
      <w:spacing w:after="57"/>
      <w:ind w:left="1984"/>
    </w:pPr>
  </w:style>
  <w:style w:type="paragraph" w:styleId="Spistreci9">
    <w:name w:val="toc 9"/>
    <w:basedOn w:val="Normalny"/>
    <w:next w:val="Normalny"/>
    <w:uiPriority w:val="39"/>
    <w:semiHidden/>
    <w:unhideWhenUsed/>
    <w:pPr>
      <w:spacing w:after="57"/>
      <w:ind w:left="2268"/>
    </w:pPr>
  </w:style>
  <w:style w:type="character" w:customStyle="1" w:styleId="Heading1Char">
    <w:name w:val="Heading 1 Char"/>
    <w:basedOn w:val="Domylnaczcionkaakapitu"/>
    <w:uiPriority w:val="9"/>
    <w:rPr>
      <w:rFonts w:ascii="Arial" w:eastAsia="Arial" w:hAnsi="Arial" w:cs="Arial"/>
      <w:sz w:val="40"/>
      <w:szCs w:val="40"/>
    </w:rPr>
  </w:style>
  <w:style w:type="character" w:customStyle="1" w:styleId="Heading2Char">
    <w:name w:val="Heading 2 Char"/>
    <w:basedOn w:val="Domylnaczcionkaakapitu"/>
    <w:uiPriority w:val="9"/>
    <w:rPr>
      <w:rFonts w:ascii="Arial" w:eastAsia="Arial" w:hAnsi="Arial" w:cs="Arial"/>
      <w:sz w:val="34"/>
    </w:rPr>
  </w:style>
  <w:style w:type="character" w:customStyle="1" w:styleId="Nagwek3Znak">
    <w:name w:val="Nagłówek 3 Znak"/>
    <w:basedOn w:val="Domylnaczcionkaakapitu"/>
    <w:link w:val="Nagwek3"/>
    <w:uiPriority w:val="9"/>
    <w:rPr>
      <w:rFonts w:ascii="Arial" w:eastAsia="Arial" w:hAnsi="Arial" w:cs="Arial"/>
      <w:sz w:val="30"/>
      <w:szCs w:val="30"/>
    </w:rPr>
  </w:style>
  <w:style w:type="character" w:customStyle="1" w:styleId="Nagwek4Znak">
    <w:name w:val="Nagłówek 4 Znak"/>
    <w:basedOn w:val="Domylnaczcionkaakapitu"/>
    <w:link w:val="Nagwek4"/>
    <w:uiPriority w:val="9"/>
    <w:rPr>
      <w:rFonts w:ascii="Arial" w:eastAsia="Arial" w:hAnsi="Arial" w:cs="Arial"/>
      <w:b/>
      <w:bCs/>
      <w:sz w:val="26"/>
      <w:szCs w:val="26"/>
    </w:rPr>
  </w:style>
  <w:style w:type="character" w:customStyle="1" w:styleId="Nagwek5Znak">
    <w:name w:val="Nagłówek 5 Znak"/>
    <w:basedOn w:val="Domylnaczcionkaakapitu"/>
    <w:link w:val="Nagwek5"/>
    <w:uiPriority w:val="9"/>
    <w:rPr>
      <w:rFonts w:ascii="Arial" w:eastAsia="Arial" w:hAnsi="Arial" w:cs="Arial"/>
      <w:b/>
      <w:bCs/>
      <w:sz w:val="24"/>
      <w:szCs w:val="24"/>
    </w:rPr>
  </w:style>
  <w:style w:type="character" w:customStyle="1" w:styleId="Nagwek6Znak">
    <w:name w:val="Nagłówek 6 Znak"/>
    <w:basedOn w:val="Domylnaczcionkaakapitu"/>
    <w:link w:val="Nagwek6"/>
    <w:uiPriority w:val="9"/>
    <w:rPr>
      <w:rFonts w:ascii="Arial" w:eastAsia="Arial" w:hAnsi="Arial" w:cs="Arial"/>
      <w:b/>
      <w:bCs/>
      <w:sz w:val="22"/>
      <w:szCs w:val="22"/>
    </w:rPr>
  </w:style>
  <w:style w:type="character" w:customStyle="1" w:styleId="Nagwek7Znak">
    <w:name w:val="Nagłówek 7 Znak"/>
    <w:basedOn w:val="Domylnaczcionkaakapitu"/>
    <w:link w:val="Nagwek7"/>
    <w:uiPriority w:val="9"/>
    <w:rPr>
      <w:rFonts w:ascii="Arial" w:eastAsia="Arial" w:hAnsi="Arial" w:cs="Arial"/>
      <w:b/>
      <w:bCs/>
      <w:i/>
      <w:iCs/>
      <w:sz w:val="22"/>
      <w:szCs w:val="22"/>
    </w:rPr>
  </w:style>
  <w:style w:type="character" w:customStyle="1" w:styleId="Nagwek8Znak">
    <w:name w:val="Nagłówek 8 Znak"/>
    <w:basedOn w:val="Domylnaczcionkaakapitu"/>
    <w:link w:val="Nagwek8"/>
    <w:uiPriority w:val="9"/>
    <w:rPr>
      <w:rFonts w:ascii="Arial" w:eastAsia="Arial" w:hAnsi="Arial" w:cs="Arial"/>
      <w:i/>
      <w:iCs/>
      <w:sz w:val="22"/>
      <w:szCs w:val="22"/>
    </w:rPr>
  </w:style>
  <w:style w:type="character" w:customStyle="1" w:styleId="Nagwek9Znak">
    <w:name w:val="Nagłówek 9 Znak"/>
    <w:basedOn w:val="Domylnaczcionkaakapitu"/>
    <w:link w:val="Nagwek9"/>
    <w:uiPriority w:val="9"/>
    <w:rPr>
      <w:rFonts w:ascii="Arial" w:eastAsia="Arial" w:hAnsi="Arial" w:cs="Arial"/>
      <w:i/>
      <w:iCs/>
      <w:sz w:val="21"/>
      <w:szCs w:val="21"/>
    </w:rPr>
  </w:style>
  <w:style w:type="character" w:customStyle="1" w:styleId="TytuZnak">
    <w:name w:val="Tytuł Znak"/>
    <w:basedOn w:val="Domylnaczcionkaakapitu"/>
    <w:link w:val="Tytu"/>
    <w:uiPriority w:val="10"/>
    <w:rPr>
      <w:sz w:val="48"/>
      <w:szCs w:val="48"/>
    </w:rPr>
  </w:style>
  <w:style w:type="character" w:customStyle="1" w:styleId="PodtytuZnak">
    <w:name w:val="Podtytuł Znak"/>
    <w:basedOn w:val="Domylnaczcionkaakapitu"/>
    <w:link w:val="Podtytu"/>
    <w:uiPriority w:val="11"/>
    <w:rPr>
      <w:sz w:val="24"/>
      <w:szCs w:val="24"/>
    </w:rPr>
  </w:style>
  <w:style w:type="paragraph" w:styleId="Cytat">
    <w:name w:val="Quote"/>
    <w:basedOn w:val="Normalny"/>
    <w:next w:val="Normalny"/>
    <w:link w:val="CytatZnak"/>
    <w:uiPriority w:val="29"/>
    <w:qFormat/>
    <w:pPr>
      <w:ind w:left="720" w:right="720"/>
    </w:pPr>
    <w:rPr>
      <w:i/>
    </w:rPr>
  </w:style>
  <w:style w:type="character" w:customStyle="1" w:styleId="CytatZnak">
    <w:name w:val="Cytat Znak"/>
    <w:link w:val="Cytat"/>
    <w:uiPriority w:val="29"/>
    <w:rPr>
      <w:i/>
    </w:rPr>
  </w:style>
  <w:style w:type="paragraph" w:styleId="Cytatintensywny">
    <w:name w:val="Intense Quote"/>
    <w:basedOn w:val="Normalny"/>
    <w:next w:val="Normalny"/>
    <w:link w:val="CytatintensywnyZnak"/>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ytatintensywnyZnak">
    <w:name w:val="Cytat intensywny Znak"/>
    <w:link w:val="Cytatintensywny"/>
    <w:uiPriority w:val="30"/>
    <w:rPr>
      <w:i/>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 w:type="character" w:customStyle="1" w:styleId="CaptionChar">
    <w:name w:val="Caption Char"/>
    <w:uiPriority w:val="99"/>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Zwykatabela21">
    <w:name w:val="Zwykła tabela 21"/>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Standardowy"/>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41">
    <w:name w:val="Zwykła tabela 41"/>
    <w:basedOn w:val="Standardowy"/>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51">
    <w:name w:val="Zwykła tabela 51"/>
    <w:basedOn w:val="Standardowy"/>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siatki1jasna1">
    <w:name w:val="Tabela siatki 1 — jasna1"/>
    <w:basedOn w:val="Standardowy"/>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asiatki21">
    <w:name w:val="Tabela siatki 21"/>
    <w:basedOn w:val="Standardowy"/>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Standardowy"/>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Standardowy"/>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Standardowy"/>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Standardowy"/>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Standardowy"/>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31">
    <w:name w:val="Tabela siatki 31"/>
    <w:basedOn w:val="Standardowy"/>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Standardowy"/>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Standardowy"/>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Standardowy"/>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Standardowy"/>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Standardowy"/>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41">
    <w:name w:val="Tabela siatki 41"/>
    <w:basedOn w:val="Standardowy"/>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Standardowy"/>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Standardowy"/>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Standardowy"/>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Standardowy"/>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Standardowy"/>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5ciemna1">
    <w:name w:val="Tabela siatki 5 — ciemna1"/>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Standardowy"/>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elasiatki6kolorowa1">
    <w:name w:val="Tabela siatki 6 — kolorowa1"/>
    <w:basedOn w:val="Standardowy"/>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Standardowy"/>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Standardowy"/>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Standardowy"/>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Standardowy"/>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Standardowy"/>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Standardowy"/>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Tabelasiatki7kolorowa1">
    <w:name w:val="Tabela siatki 7 — kolorowa1"/>
    <w:basedOn w:val="Standardowy"/>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Standardowy"/>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Standardowy"/>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Standardowy"/>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Standardowy"/>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Standardowy"/>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Standardowy"/>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Tabelalisty1jasna1">
    <w:name w:val="Tabela listy 1 — jasna1"/>
    <w:basedOn w:val="Standardowy"/>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Standardowy"/>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Standardowy"/>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Standardowy"/>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Standardowy"/>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Standardowy"/>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elalisty21">
    <w:name w:val="Tabela listy 21"/>
    <w:basedOn w:val="Standardowy"/>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Standardowy"/>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Standardowy"/>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Standardowy"/>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Standardowy"/>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Standardowy"/>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alisty31">
    <w:name w:val="Tabela listy 31"/>
    <w:basedOn w:val="Standardowy"/>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elalisty41">
    <w:name w:val="Tabela listy 41"/>
    <w:basedOn w:val="Standardowy"/>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Standardowy"/>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Standardowy"/>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Standardowy"/>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Standardowy"/>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Standardowy"/>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alisty5ciemna1">
    <w:name w:val="Tabela listy 5 — ciemna1"/>
    <w:basedOn w:val="Standardowy"/>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Standardowy"/>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Standardowy"/>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Standardowy"/>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Standardowy"/>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Standardowy"/>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elalisty6kolorowa1">
    <w:name w:val="Tabela listy 6 — kolorowa1"/>
    <w:basedOn w:val="Standardowy"/>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Standardowy"/>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Standardowy"/>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Standardowy"/>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Standardowy"/>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Standardowy"/>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Tabelalisty7kolorowa1">
    <w:name w:val="Tabela listy 7 — kolorowa1"/>
    <w:basedOn w:val="Standardowy"/>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Standardowy"/>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Standardowy"/>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Standardowy"/>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Standardowy"/>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Standardowy"/>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Standardowy"/>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Standardowy"/>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Standardowy"/>
    <w:uiPriority w:val="99"/>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Standardowy"/>
    <w:uiPriority w:val="99"/>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Standardowy"/>
    <w:uiPriority w:val="99"/>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Standardowy"/>
    <w:uiPriority w:val="99"/>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Standardowy"/>
    <w:uiPriority w:val="99"/>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Standardowy"/>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Standardowy"/>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Standardowy"/>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Standardowy"/>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Standardowy"/>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Standardowy"/>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Standardowy"/>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ekstprzypisudolnegoZnak">
    <w:name w:val="Tekst przypisu dolnego Znak"/>
    <w:uiPriority w:val="99"/>
    <w:rPr>
      <w:sz w:val="18"/>
    </w:rPr>
  </w:style>
  <w:style w:type="character" w:customStyle="1" w:styleId="EndnoteTextChar">
    <w:name w:val="Endnote Text Char"/>
    <w:uiPriority w:val="99"/>
    <w:rPr>
      <w:sz w:val="20"/>
    </w:rPr>
  </w:style>
  <w:style w:type="paragraph" w:customStyle="1" w:styleId="Nagwekspisutreci1">
    <w:name w:val="Nagłówek spisu treści1"/>
    <w:uiPriority w:val="39"/>
    <w:unhideWhenUsed/>
  </w:style>
  <w:style w:type="paragraph" w:customStyle="1" w:styleId="a">
    <w:name w:val="Знак Знак Знак Знак Знак Знак Знак Знак Знак Знак Знак Знак Знак Знак Знак Знак Знак Знак Знак Знак Знак"/>
    <w:basedOn w:val="Normalny"/>
    <w:qFormat/>
    <w:pPr>
      <w:spacing w:after="160" w:line="240" w:lineRule="exact"/>
    </w:pPr>
    <w:rPr>
      <w:rFonts w:ascii="Verdana" w:hAnsi="Verdana" w:cs="Verdana"/>
      <w:sz w:val="20"/>
      <w:szCs w:val="20"/>
    </w:rPr>
  </w:style>
  <w:style w:type="paragraph" w:customStyle="1" w:styleId="Style1">
    <w:name w:val="Style1"/>
    <w:basedOn w:val="Normalny"/>
    <w:qFormat/>
    <w:pPr>
      <w:widowControl w:val="0"/>
      <w:spacing w:line="204" w:lineRule="exact"/>
      <w:ind w:firstLine="250"/>
      <w:jc w:val="both"/>
    </w:pPr>
    <w:rPr>
      <w:rFonts w:ascii="Sylfaen" w:hAnsi="Sylfaen"/>
    </w:rPr>
  </w:style>
  <w:style w:type="paragraph" w:styleId="Akapitzlist">
    <w:name w:val="List Paragraph"/>
    <w:basedOn w:val="Normalny"/>
    <w:uiPriority w:val="34"/>
    <w:qFormat/>
    <w:pPr>
      <w:spacing w:after="200" w:line="276" w:lineRule="auto"/>
      <w:ind w:left="720"/>
      <w:contextualSpacing/>
    </w:pPr>
    <w:rPr>
      <w:rFonts w:ascii="Calibri" w:hAnsi="Calibri"/>
      <w:sz w:val="22"/>
      <w:szCs w:val="22"/>
    </w:rPr>
  </w:style>
  <w:style w:type="paragraph" w:styleId="Bezodstpw">
    <w:name w:val="No Spacing"/>
    <w:uiPriority w:val="1"/>
    <w:qFormat/>
    <w:rPr>
      <w:rFonts w:ascii="Calibri" w:hAnsi="Calibri"/>
      <w:sz w:val="22"/>
      <w:szCs w:val="22"/>
    </w:rPr>
  </w:style>
  <w:style w:type="paragraph" w:customStyle="1" w:styleId="a0">
    <w:name w:val="Îáû÷íûé"/>
    <w:qFormat/>
    <w:pPr>
      <w:widowControl w:val="0"/>
    </w:pPr>
    <w:rPr>
      <w:rFonts w:ascii="Kudriashov" w:hAnsi="Kudriashov"/>
    </w:rPr>
  </w:style>
  <w:style w:type="paragraph" w:customStyle="1" w:styleId="xfmc1">
    <w:name w:val="xfmc1"/>
    <w:basedOn w:val="Normalny"/>
    <w:qFormat/>
    <w:pPr>
      <w:spacing w:before="100" w:beforeAutospacing="1" w:after="100" w:afterAutospacing="1"/>
    </w:pPr>
  </w:style>
  <w:style w:type="character" w:customStyle="1" w:styleId="FontStyle11">
    <w:name w:val="Font Style11"/>
    <w:rPr>
      <w:rFonts w:ascii="Sylfaen" w:hAnsi="Sylfaen" w:cs="Sylfaen"/>
      <w:sz w:val="18"/>
      <w:szCs w:val="18"/>
    </w:rPr>
  </w:style>
  <w:style w:type="character" w:customStyle="1" w:styleId="FontStyle12">
    <w:name w:val="Font Style12"/>
    <w:rPr>
      <w:rFonts w:ascii="Sylfaen" w:hAnsi="Sylfaen" w:cs="Sylfaen"/>
      <w:b/>
      <w:bCs/>
      <w:sz w:val="18"/>
      <w:szCs w:val="18"/>
    </w:rPr>
  </w:style>
  <w:style w:type="character" w:customStyle="1" w:styleId="label">
    <w:name w:val="label"/>
  </w:style>
  <w:style w:type="character" w:customStyle="1" w:styleId="jlqj4b">
    <w:name w:val="jlqj4b"/>
  </w:style>
  <w:style w:type="character" w:customStyle="1" w:styleId="HTML-wstpniesformatowanyZnak">
    <w:name w:val="HTML - wstępnie sformatowany Znak"/>
    <w:basedOn w:val="Domylnaczcionkaakapitu"/>
    <w:link w:val="HTML-wstpniesformatowany"/>
    <w:uiPriority w:val="99"/>
    <w:rPr>
      <w:rFonts w:ascii="Courier New" w:hAnsi="Courier New" w:cs="Courier New"/>
      <w:sz w:val="20"/>
      <w:szCs w:val="20"/>
    </w:rPr>
  </w:style>
  <w:style w:type="character" w:customStyle="1" w:styleId="viiyi">
    <w:name w:val="viiyi"/>
  </w:style>
  <w:style w:type="character" w:customStyle="1" w:styleId="rynqvb">
    <w:name w:val="rynqvb"/>
  </w:style>
  <w:style w:type="character" w:customStyle="1" w:styleId="TekstpodstawowywcityZnak">
    <w:name w:val="Tekst podstawowy wcięty Znak"/>
    <w:basedOn w:val="Domylnaczcionkaakapitu"/>
    <w:rPr>
      <w:rFonts w:ascii="Times New Roman" w:eastAsia="Times New Roman" w:hAnsi="Times New Roman" w:cs="Mangal"/>
      <w:sz w:val="28"/>
      <w:szCs w:val="28"/>
    </w:rPr>
  </w:style>
  <w:style w:type="character" w:customStyle="1" w:styleId="apple-style-span">
    <w:name w:val="apple-style-span"/>
  </w:style>
  <w:style w:type="character" w:customStyle="1" w:styleId="hwtze">
    <w:name w:val="hwtze"/>
    <w:basedOn w:val="Domylnaczcionkaakapitu"/>
  </w:style>
  <w:style w:type="character" w:customStyle="1" w:styleId="Nagwek2Znak">
    <w:name w:val="Nagłówek 2 Znak"/>
    <w:basedOn w:val="Domylnaczcionkaakapitu"/>
    <w:link w:val="Nagwek2"/>
    <w:rPr>
      <w:b/>
      <w:bCs/>
      <w:sz w:val="36"/>
      <w:szCs w:val="36"/>
    </w:rPr>
  </w:style>
  <w:style w:type="character" w:customStyle="1" w:styleId="tm61">
    <w:name w:val="tm61"/>
    <w:rPr>
      <w:sz w:val="22"/>
      <w:szCs w:val="22"/>
    </w:rPr>
  </w:style>
  <w:style w:type="character" w:customStyle="1" w:styleId="tm81">
    <w:name w:val="tm81"/>
    <w:rPr>
      <w:sz w:val="24"/>
      <w:szCs w:val="24"/>
    </w:rPr>
  </w:style>
  <w:style w:type="table" w:customStyle="1" w:styleId="Zwykatabela">
    <w:name w:val="Zwykła tabela"/>
    <w:tblPr>
      <w:tblCellMar>
        <w:top w:w="0" w:type="dxa"/>
        <w:left w:w="108" w:type="dxa"/>
        <w:bottom w:w="0" w:type="dxa"/>
        <w:right w:w="108" w:type="dxa"/>
      </w:tblCellMar>
    </w:tblPr>
  </w:style>
  <w:style w:type="character" w:customStyle="1" w:styleId="Nagwek1Znak">
    <w:name w:val="Nagłówek 1 Znak"/>
    <w:basedOn w:val="Domylnaczcionkaakapitu"/>
    <w:link w:val="Nagwek1"/>
    <w:rPr>
      <w:rFonts w:ascii="Times New Roman" w:eastAsia="Times New Roman" w:hAnsi="Times New Roman" w:cs="Times New Roman"/>
      <w:b/>
      <w:bCs/>
      <w:kern w:val="36"/>
      <w:sz w:val="48"/>
      <w:szCs w:val="48"/>
      <w:lang w:val="pl-PL" w:eastAsia="pl-PL" w:bidi="ar-SA"/>
    </w:rPr>
  </w:style>
  <w:style w:type="character" w:customStyle="1" w:styleId="TekstprzypisukocowegoZnak">
    <w:name w:val="Tekst przypisu końcowego Znak"/>
    <w:basedOn w:val="Domylnaczcionkaakapitu"/>
    <w:link w:val="Tekstprzypisukocowego"/>
    <w:uiPriority w:val="99"/>
    <w:rPr>
      <w:rFonts w:asciiTheme="minorHAnsi" w:eastAsiaTheme="minorHAnsi" w:hAnsiTheme="minorHAnsi" w:cstheme="minorBidi"/>
      <w:sz w:val="20"/>
      <w:szCs w:val="20"/>
      <w:lang w:val="pl-PL" w:eastAsia="en-US" w:bidi="ar-SA"/>
    </w:rPr>
  </w:style>
  <w:style w:type="character" w:customStyle="1" w:styleId="title-text">
    <w:name w:val="title-text"/>
    <w:basedOn w:val="Domylnaczcionkaakapitu"/>
    <w:rPr>
      <w:rFonts w:asciiTheme="minorHAnsi" w:eastAsiaTheme="minorHAnsi" w:hAnsiTheme="minorHAnsi" w:cstheme="minorBidi"/>
      <w:sz w:val="22"/>
      <w:szCs w:val="22"/>
      <w:lang w:val="pl-PL" w:eastAsia="en-US" w:bidi="ar-SA"/>
    </w:rPr>
  </w:style>
  <w:style w:type="character" w:customStyle="1" w:styleId="anchor-text">
    <w:name w:val="anchor-text"/>
    <w:basedOn w:val="Domylnaczcionkaakapitu"/>
    <w:rPr>
      <w:rFonts w:asciiTheme="minorHAnsi" w:eastAsiaTheme="minorHAnsi" w:hAnsiTheme="minorHAnsi" w:cstheme="minorBidi"/>
      <w:sz w:val="22"/>
      <w:szCs w:val="22"/>
      <w:lang w:val="pl-PL" w:eastAsia="en-US" w:bidi="ar-SA"/>
    </w:rPr>
  </w:style>
  <w:style w:type="character" w:customStyle="1" w:styleId="given-name">
    <w:name w:val="given-name"/>
    <w:basedOn w:val="Domylnaczcionkaakapitu"/>
    <w:rPr>
      <w:rFonts w:asciiTheme="minorHAnsi" w:eastAsiaTheme="minorHAnsi" w:hAnsiTheme="minorHAnsi" w:cstheme="minorBidi"/>
      <w:sz w:val="22"/>
      <w:szCs w:val="22"/>
      <w:lang w:val="pl-PL" w:eastAsia="en-US" w:bidi="ar-SA"/>
    </w:rPr>
  </w:style>
  <w:style w:type="character" w:customStyle="1" w:styleId="text">
    <w:name w:val="text"/>
    <w:basedOn w:val="Domylnaczcionkaakapitu"/>
    <w:rPr>
      <w:rFonts w:asciiTheme="minorHAnsi" w:eastAsiaTheme="minorHAnsi" w:hAnsiTheme="minorHAnsi" w:cstheme="minorBidi"/>
      <w:sz w:val="22"/>
      <w:szCs w:val="22"/>
      <w:lang w:val="pl-PL" w:eastAsia="en-US" w:bidi="ar-SA"/>
    </w:rPr>
  </w:style>
  <w:style w:type="character" w:customStyle="1" w:styleId="react-xocs-alternative-link">
    <w:name w:val="react-xocs-alternative-link"/>
    <w:basedOn w:val="Domylnaczcionkaakapitu"/>
    <w:rPr>
      <w:rFonts w:asciiTheme="minorHAnsi" w:eastAsiaTheme="minorHAnsi" w:hAnsiTheme="minorHAnsi" w:cstheme="minorBidi"/>
      <w:sz w:val="22"/>
      <w:szCs w:val="22"/>
      <w:lang w:val="pl-PL" w:eastAsia="en-US" w:bidi="ar-SA"/>
    </w:rPr>
  </w:style>
  <w:style w:type="character" w:customStyle="1" w:styleId="TekstdymkaZnak">
    <w:name w:val="Tekst dymka Znak"/>
    <w:basedOn w:val="Domylnaczcionkaakapitu"/>
    <w:link w:val="Tekstdymka"/>
    <w:uiPriority w:val="99"/>
    <w:semiHidden/>
    <w:rPr>
      <w:rFonts w:ascii="Tahoma" w:eastAsiaTheme="minorHAnsi" w:hAnsi="Tahoma" w:cs="Tahoma"/>
      <w:sz w:val="16"/>
      <w:szCs w:val="16"/>
      <w:lang w:val="pl-PL" w:eastAsia="en-US" w:bidi="ar-SA"/>
    </w:rPr>
  </w:style>
  <w:style w:type="character" w:customStyle="1" w:styleId="accordion-tabbedtab-mobile">
    <w:name w:val="accordion-tabbed__tab-mobile"/>
    <w:basedOn w:val="Domylnaczcionkaakapitu"/>
    <w:rPr>
      <w:rFonts w:asciiTheme="minorHAnsi" w:eastAsiaTheme="minorHAnsi" w:hAnsiTheme="minorHAnsi" w:cstheme="minorBidi"/>
      <w:sz w:val="22"/>
      <w:szCs w:val="22"/>
      <w:lang w:val="pl-PL" w:eastAsia="en-US" w:bidi="ar-SA"/>
    </w:rPr>
  </w:style>
  <w:style w:type="character" w:customStyle="1" w:styleId="comma-separator">
    <w:name w:val="comma-separator"/>
    <w:basedOn w:val="Domylnaczcionkaakapitu"/>
    <w:rPr>
      <w:rFonts w:asciiTheme="minorHAnsi" w:eastAsiaTheme="minorHAnsi" w:hAnsiTheme="minorHAnsi" w:cstheme="minorBidi"/>
      <w:sz w:val="22"/>
      <w:szCs w:val="22"/>
      <w:lang w:val="pl-PL" w:eastAsia="en-US" w:bidi="ar-SA"/>
    </w:rPr>
  </w:style>
  <w:style w:type="character" w:customStyle="1" w:styleId="cit">
    <w:name w:val="cit"/>
    <w:basedOn w:val="Domylnaczcionkaakapitu"/>
    <w:rPr>
      <w:rFonts w:asciiTheme="minorHAnsi" w:eastAsiaTheme="minorHAnsi" w:hAnsiTheme="minorHAnsi" w:cstheme="minorBidi"/>
      <w:sz w:val="22"/>
      <w:szCs w:val="22"/>
      <w:lang w:val="pl-PL" w:eastAsia="en-US" w:bidi="ar-SA"/>
    </w:rPr>
  </w:style>
  <w:style w:type="character" w:customStyle="1" w:styleId="citation-doi">
    <w:name w:val="citation-doi"/>
    <w:basedOn w:val="Domylnaczcionkaakapitu"/>
    <w:rPr>
      <w:rFonts w:asciiTheme="minorHAnsi" w:eastAsiaTheme="minorHAnsi" w:hAnsiTheme="minorHAnsi" w:cstheme="minorBidi"/>
      <w:sz w:val="22"/>
      <w:szCs w:val="22"/>
      <w:lang w:val="pl-PL" w:eastAsia="en-US" w:bidi="ar-SA"/>
    </w:rPr>
  </w:style>
  <w:style w:type="character" w:customStyle="1" w:styleId="secondary-date">
    <w:name w:val="secondary-date"/>
    <w:basedOn w:val="Domylnaczcionkaakapitu"/>
    <w:rPr>
      <w:rFonts w:asciiTheme="minorHAnsi" w:eastAsiaTheme="minorHAnsi" w:hAnsiTheme="minorHAnsi" w:cstheme="minorBidi"/>
      <w:sz w:val="22"/>
      <w:szCs w:val="22"/>
      <w:lang w:val="pl-PL" w:eastAsia="en-US" w:bidi="ar-SA"/>
    </w:rPr>
  </w:style>
  <w:style w:type="character" w:customStyle="1" w:styleId="contribdegrees">
    <w:name w:val="contribdegrees"/>
    <w:basedOn w:val="Domylnaczcionkaakapitu"/>
    <w:rPr>
      <w:rFonts w:asciiTheme="minorHAnsi" w:eastAsiaTheme="minorHAnsi" w:hAnsiTheme="minorHAnsi" w:cstheme="minorBidi"/>
      <w:sz w:val="22"/>
      <w:szCs w:val="22"/>
      <w:lang w:val="pl-PL" w:eastAsia="en-US" w:bidi="ar-SA"/>
    </w:rPr>
  </w:style>
  <w:style w:type="character" w:customStyle="1" w:styleId="orcid-icon">
    <w:name w:val="orcid-icon"/>
    <w:basedOn w:val="Domylnaczcionkaakapitu"/>
    <w:rPr>
      <w:rFonts w:asciiTheme="minorHAnsi" w:eastAsiaTheme="minorHAnsi" w:hAnsiTheme="minorHAnsi" w:cstheme="minorBidi"/>
      <w:sz w:val="22"/>
      <w:szCs w:val="22"/>
      <w:lang w:val="pl-PL" w:eastAsia="en-US" w:bidi="ar-SA"/>
    </w:rPr>
  </w:style>
  <w:style w:type="character" w:customStyle="1" w:styleId="fm-role">
    <w:name w:val="fm-role"/>
    <w:basedOn w:val="Domylnaczcionkaakapitu"/>
    <w:rPr>
      <w:rFonts w:asciiTheme="minorHAnsi" w:eastAsiaTheme="minorHAnsi" w:hAnsiTheme="minorHAnsi" w:cstheme="minorBidi"/>
      <w:sz w:val="22"/>
      <w:szCs w:val="22"/>
      <w:lang w:val="pl-PL" w:eastAsia="en-US" w:bidi="ar-SA"/>
    </w:rPr>
  </w:style>
  <w:style w:type="character" w:customStyle="1" w:styleId="al-author-delim">
    <w:name w:val="al-author-delim"/>
    <w:basedOn w:val="Domylnaczcionkaakapitu"/>
    <w:rPr>
      <w:rFonts w:asciiTheme="minorHAnsi" w:eastAsiaTheme="minorHAnsi" w:hAnsiTheme="minorHAnsi" w:cstheme="minorBidi"/>
      <w:sz w:val="22"/>
      <w:szCs w:val="22"/>
      <w:lang w:val="pl-PL" w:eastAsia="en-US" w:bidi="ar-SA"/>
    </w:rPr>
  </w:style>
  <w:style w:type="paragraph" w:customStyle="1" w:styleId="Normalny11">
    <w:name w:val="Normalny11"/>
    <w:pPr>
      <w:spacing w:after="200" w:line="276" w:lineRule="auto"/>
    </w:pPr>
    <w:rPr>
      <w:rFonts w:ascii="Calibri" w:eastAsia="Calibri" w:hAnsi="Calibri" w:cs="Calibri"/>
      <w:sz w:val="22"/>
      <w:szCs w:val="22"/>
    </w:rPr>
  </w:style>
  <w:style w:type="character" w:customStyle="1" w:styleId="author">
    <w:name w:val="author"/>
    <w:basedOn w:val="Domylnaczcionkaakapitu"/>
    <w:rPr>
      <w:rFonts w:asciiTheme="minorHAnsi" w:eastAsiaTheme="minorHAnsi" w:hAnsiTheme="minorHAnsi" w:cstheme="minorBidi"/>
      <w:sz w:val="22"/>
      <w:szCs w:val="22"/>
      <w:lang w:val="pl-PL" w:eastAsia="en-US" w:bidi="ar-SA"/>
    </w:rPr>
  </w:style>
  <w:style w:type="character" w:customStyle="1" w:styleId="articletitle">
    <w:name w:val="articletitle"/>
    <w:basedOn w:val="Domylnaczcionkaakapitu"/>
    <w:rPr>
      <w:rFonts w:asciiTheme="minorHAnsi" w:eastAsiaTheme="minorHAnsi" w:hAnsiTheme="minorHAnsi" w:cstheme="minorBidi"/>
      <w:sz w:val="22"/>
      <w:szCs w:val="22"/>
      <w:lang w:val="pl-PL" w:eastAsia="en-US" w:bidi="ar-SA"/>
    </w:rPr>
  </w:style>
  <w:style w:type="character" w:customStyle="1" w:styleId="pubyear">
    <w:name w:val="pubyear"/>
    <w:basedOn w:val="Domylnaczcionkaakapitu"/>
    <w:rPr>
      <w:rFonts w:asciiTheme="minorHAnsi" w:eastAsiaTheme="minorHAnsi" w:hAnsiTheme="minorHAnsi" w:cstheme="minorBidi"/>
      <w:sz w:val="22"/>
      <w:szCs w:val="22"/>
      <w:lang w:val="pl-PL" w:eastAsia="en-US" w:bidi="ar-SA"/>
    </w:rPr>
  </w:style>
  <w:style w:type="character" w:customStyle="1" w:styleId="vol">
    <w:name w:val="vol"/>
    <w:basedOn w:val="Domylnaczcionkaakapitu"/>
    <w:rPr>
      <w:rFonts w:asciiTheme="minorHAnsi" w:eastAsiaTheme="minorHAnsi" w:hAnsiTheme="minorHAnsi" w:cstheme="minorBidi"/>
      <w:sz w:val="22"/>
      <w:szCs w:val="22"/>
      <w:lang w:val="pl-PL" w:eastAsia="en-US" w:bidi="ar-SA"/>
    </w:rPr>
  </w:style>
  <w:style w:type="character" w:customStyle="1" w:styleId="pagefirst">
    <w:name w:val="pagefirst"/>
    <w:basedOn w:val="Domylnaczcionkaakapitu"/>
    <w:rPr>
      <w:rFonts w:asciiTheme="minorHAnsi" w:eastAsiaTheme="minorHAnsi" w:hAnsiTheme="minorHAnsi" w:cstheme="minorBidi"/>
      <w:sz w:val="22"/>
      <w:szCs w:val="22"/>
      <w:lang w:val="pl-PL" w:eastAsia="en-US" w:bidi="ar-SA"/>
    </w:rPr>
  </w:style>
  <w:style w:type="character" w:customStyle="1" w:styleId="pagelast">
    <w:name w:val="pagelast"/>
    <w:basedOn w:val="Domylnaczcionkaakapitu"/>
    <w:rPr>
      <w:rFonts w:asciiTheme="minorHAnsi" w:eastAsiaTheme="minorHAnsi" w:hAnsiTheme="minorHAnsi" w:cstheme="minorBidi"/>
      <w:sz w:val="22"/>
      <w:szCs w:val="22"/>
      <w:lang w:val="pl-PL" w:eastAsia="en-US" w:bidi="ar-SA"/>
    </w:rPr>
  </w:style>
  <w:style w:type="character" w:customStyle="1" w:styleId="NagwekZnak">
    <w:name w:val="Nagłówek Znak"/>
    <w:basedOn w:val="Domylnaczcionkaakapitu"/>
    <w:link w:val="Nagwek"/>
    <w:uiPriority w:val="99"/>
    <w:rPr>
      <w:rFonts w:asciiTheme="minorHAnsi" w:eastAsiaTheme="minorHAnsi" w:hAnsiTheme="minorHAnsi" w:cstheme="minorBidi"/>
      <w:sz w:val="18"/>
      <w:szCs w:val="18"/>
      <w:lang w:val="pl-PL" w:eastAsia="en-US" w:bidi="ar-SA"/>
    </w:rPr>
  </w:style>
  <w:style w:type="character" w:customStyle="1" w:styleId="StopkaZnak">
    <w:name w:val="Stopka Znak"/>
    <w:basedOn w:val="Domylnaczcionkaakapitu"/>
    <w:link w:val="Stopka"/>
    <w:uiPriority w:val="99"/>
    <w:rPr>
      <w:rFonts w:asciiTheme="minorHAnsi" w:eastAsiaTheme="minorHAnsi" w:hAnsiTheme="minorHAnsi" w:cstheme="minorBidi"/>
      <w:sz w:val="18"/>
      <w:szCs w:val="18"/>
      <w:lang w:val="pl-PL" w:eastAsia="en-US" w:bidi="ar-SA"/>
    </w:rPr>
  </w:style>
  <w:style w:type="character" w:customStyle="1" w:styleId="Nierozpoznanawzmianka1">
    <w:name w:val="Nierozpoznana wzmianka1"/>
    <w:basedOn w:val="Domylnaczcionkaakapitu"/>
    <w:uiPriority w:val="99"/>
    <w:semiHidden/>
    <w:unhideWhenUsed/>
    <w:rPr>
      <w:color w:val="605E5C"/>
      <w:shd w:val="clear" w:color="auto" w:fill="E1DFDD"/>
    </w:rPr>
  </w:style>
  <w:style w:type="character" w:customStyle="1" w:styleId="TekstpodstawowyZnak">
    <w:name w:val="Tekst podstawowy Znak"/>
    <w:basedOn w:val="Domylnaczcionkaakapitu"/>
    <w:link w:val="Tekstpodstawowy"/>
    <w:rPr>
      <w:rFonts w:asciiTheme="minorHAnsi" w:eastAsiaTheme="minorEastAsia" w:hAnsiTheme="minorHAnsi" w:cstheme="minorBidi"/>
      <w:sz w:val="24"/>
      <w:szCs w:val="24"/>
      <w:lang w:val="en-US" w:eastAsia="ja-JP"/>
    </w:rPr>
  </w:style>
  <w:style w:type="table" w:customStyle="1" w:styleId="TableNormal1">
    <w:name w:val="Table Normal1"/>
    <w:tblPr>
      <w:tblCellMar>
        <w:top w:w="0" w:type="dxa"/>
        <w:left w:w="0" w:type="dxa"/>
        <w:bottom w:w="0" w:type="dxa"/>
        <w:right w:w="0" w:type="dxa"/>
      </w:tblCellMar>
    </w:tblPr>
  </w:style>
  <w:style w:type="character" w:customStyle="1" w:styleId="y2iqfc">
    <w:name w:val="y2iqfc"/>
    <w:basedOn w:val="Domylnaczcionkaakapitu"/>
    <w:rPr>
      <w:rFonts w:ascii="Arial" w:eastAsia="Arial" w:hAnsi="Arial" w:cs="Arial"/>
    </w:rPr>
  </w:style>
  <w:style w:type="character" w:customStyle="1" w:styleId="w7gcoc">
    <w:name w:val="w7gcoc"/>
    <w:basedOn w:val="Domylnaczcionkaakapitu"/>
    <w:rPr>
      <w:rFonts w:ascii="Arial" w:eastAsia="Arial" w:hAnsi="Arial" w:cs="Arial"/>
    </w:rPr>
  </w:style>
  <w:style w:type="character" w:customStyle="1" w:styleId="gwp24d7e105gmail-apple-converted-space">
    <w:name w:val="gwp24d7e105_gmail-apple-converted-space"/>
    <w:basedOn w:val="Domylnaczcionkaakapitu"/>
    <w:qFormat/>
    <w:rPr>
      <w:rFonts w:ascii="Arial" w:eastAsia="Arial" w:hAnsi="Arial" w:cs="Arial"/>
    </w:rPr>
  </w:style>
  <w:style w:type="paragraph" w:customStyle="1" w:styleId="gwp24d7e105gmail-c-article-info-details">
    <w:name w:val="gwp24d7e105_gmail-c-article-info-details"/>
    <w:basedOn w:val="Normalny"/>
    <w:pPr>
      <w:spacing w:before="100" w:beforeAutospacing="1" w:after="100" w:afterAutospacing="1"/>
    </w:pPr>
  </w:style>
  <w:style w:type="character" w:customStyle="1" w:styleId="TekstkomentarzaZnak">
    <w:name w:val="Tekst komentarza Znak"/>
    <w:basedOn w:val="Domylnaczcionkaakapitu"/>
    <w:link w:val="Tekstkomentarza"/>
    <w:uiPriority w:val="99"/>
    <w:semiHidden/>
    <w:qFormat/>
    <w:rPr>
      <w:rFonts w:asciiTheme="minorHAnsi" w:eastAsiaTheme="minorEastAsia" w:hAnsiTheme="minorHAnsi" w:cstheme="minorBidi"/>
      <w:sz w:val="20"/>
      <w:szCs w:val="20"/>
      <w:lang w:val="pl-PL" w:eastAsia="pl-PL" w:bidi="ar-SA"/>
    </w:rPr>
  </w:style>
  <w:style w:type="character" w:customStyle="1" w:styleId="TematkomentarzaZnak">
    <w:name w:val="Temat komentarza Znak"/>
    <w:basedOn w:val="TekstkomentarzaZnak"/>
    <w:link w:val="Tematkomentarza"/>
    <w:uiPriority w:val="99"/>
    <w:semiHidden/>
    <w:qFormat/>
    <w:rPr>
      <w:rFonts w:asciiTheme="minorHAnsi" w:eastAsiaTheme="minorEastAsia" w:hAnsiTheme="minorHAnsi" w:cstheme="minorBidi"/>
      <w:b/>
      <w:bCs/>
      <w:sz w:val="20"/>
      <w:szCs w:val="20"/>
      <w:lang w:val="pl-PL" w:eastAsia="pl-PL" w:bidi="ar-SA"/>
    </w:rPr>
  </w:style>
  <w:style w:type="character" w:customStyle="1" w:styleId="TekstprzypisudolnegoZnak1">
    <w:name w:val="Tekst przypisu dolnego Znak1"/>
    <w:link w:val="Tekstprzypisudolnego"/>
    <w:uiPriority w:val="99"/>
    <w:semiHidden/>
    <w:unhideWhenUsed/>
    <w:rPr>
      <w:sz w:val="20"/>
      <w:szCs w:val="20"/>
    </w:rPr>
  </w:style>
  <w:style w:type="character" w:customStyle="1" w:styleId="czeinternetowe">
    <w:name w:val="Łącze internetowe"/>
    <w:basedOn w:val="Domylnaczcionkaakapitu"/>
    <w:rPr>
      <w:color w:val="0000FF"/>
      <w:u w:val="single"/>
    </w:rPr>
  </w:style>
  <w:style w:type="character" w:customStyle="1" w:styleId="Nierozpoznanawzmianka2">
    <w:name w:val="Nierozpoznana wzmianka2"/>
    <w:basedOn w:val="Domylnaczcionkaakapitu"/>
    <w:uiPriority w:val="99"/>
    <w:semiHidden/>
    <w:unhideWhenUsed/>
    <w:rPr>
      <w:color w:val="605E5C"/>
      <w:shd w:val="clear" w:color="auto" w:fill="E1DFDD"/>
    </w:rPr>
  </w:style>
  <w:style w:type="character" w:styleId="Nierozpoznanawzmianka">
    <w:name w:val="Unresolved Mention"/>
    <w:basedOn w:val="Domylnaczcionkaakapitu"/>
    <w:uiPriority w:val="99"/>
    <w:semiHidden/>
    <w:unhideWhenUsed/>
    <w:rsid w:val="00122D5F"/>
    <w:rPr>
      <w:color w:val="605E5C"/>
      <w:shd w:val="clear" w:color="auto" w:fill="E1DFDD"/>
    </w:rPr>
  </w:style>
  <w:style w:type="character" w:customStyle="1" w:styleId="apple-converted-space">
    <w:name w:val="apple-converted-space"/>
    <w:basedOn w:val="Domylnaczcionkaakapitu"/>
    <w:rsid w:val="00122D5F"/>
  </w:style>
  <w:style w:type="table" w:customStyle="1" w:styleId="TableNormal">
    <w:name w:val="Table Normal"/>
    <w:rsid w:val="005A7B8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reB">
    <w:name w:val="Treść B"/>
    <w:rsid w:val="005A7B82"/>
    <w:pPr>
      <w:pBdr>
        <w:top w:val="nil"/>
        <w:left w:val="nil"/>
        <w:bottom w:val="nil"/>
        <w:right w:val="nil"/>
        <w:between w:val="nil"/>
        <w:bar w:val="nil"/>
      </w:pBdr>
    </w:pPr>
    <w:rPr>
      <w:rFonts w:eastAsia="Arial Unicode MS" w:cs="Arial Unicode MS"/>
      <w:color w:val="000000"/>
      <w:sz w:val="24"/>
      <w:szCs w:val="24"/>
      <w:u w:color="000000"/>
      <w:bdr w:val="nil"/>
      <w:lang w:val="en-US"/>
    </w:rPr>
  </w:style>
  <w:style w:type="character" w:customStyle="1" w:styleId="Brak">
    <w:name w:val="Brak"/>
    <w:qFormat/>
    <w:rsid w:val="005A7B82"/>
  </w:style>
  <w:style w:type="character" w:customStyle="1" w:styleId="Hyperlink0">
    <w:name w:val="Hyperlink.0"/>
    <w:basedOn w:val="Brak"/>
    <w:qFormat/>
    <w:rsid w:val="005A7B82"/>
    <w:rPr>
      <w:u w:color="0000FF"/>
    </w:rPr>
  </w:style>
  <w:style w:type="paragraph" w:customStyle="1" w:styleId="Tre">
    <w:name w:val="Treść"/>
    <w:qFormat/>
    <w:rsid w:val="005A7B82"/>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character" w:customStyle="1" w:styleId="Hyperlink1">
    <w:name w:val="Hyperlink.1"/>
    <w:basedOn w:val="Domylnaczcionkaakapitu"/>
    <w:rsid w:val="005A7B82"/>
    <w:rPr>
      <w:color w:val="000000"/>
      <w:u w:val="none" w:color="0000FF"/>
    </w:rPr>
  </w:style>
  <w:style w:type="paragraph" w:customStyle="1" w:styleId="Domylne">
    <w:name w:val="Domyślne"/>
    <w:rsid w:val="005A7B82"/>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reA">
    <w:name w:val="Treść A"/>
    <w:qFormat/>
    <w:rsid w:val="005A7B82"/>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ytutabeli1">
    <w:name w:val="Tytuł tabeli 1"/>
    <w:rsid w:val="005A7B82"/>
    <w:pPr>
      <w:pBdr>
        <w:top w:val="nil"/>
        <w:left w:val="nil"/>
        <w:bottom w:val="nil"/>
        <w:right w:val="nil"/>
        <w:between w:val="nil"/>
        <w:bar w:val="nil"/>
      </w:pBdr>
      <w:jc w:val="center"/>
    </w:pPr>
    <w:rPr>
      <w:rFonts w:ascii="Helvetica Neue" w:eastAsia="Arial Unicode MS" w:hAnsi="Helvetica Neue" w:cs="Arial Unicode MS"/>
      <w:color w:val="000000"/>
      <w:sz w:val="24"/>
      <w:szCs w:val="24"/>
      <w:u w:color="000000"/>
      <w:bdr w:val="nil"/>
      <w:lang w:val="nl-NL"/>
    </w:rPr>
  </w:style>
  <w:style w:type="paragraph" w:customStyle="1" w:styleId="Styltabeli1">
    <w:name w:val="Styl tabeli 1"/>
    <w:rsid w:val="005A7B82"/>
    <w:pPr>
      <w:pBdr>
        <w:top w:val="nil"/>
        <w:left w:val="nil"/>
        <w:bottom w:val="nil"/>
        <w:right w:val="nil"/>
        <w:between w:val="nil"/>
        <w:bar w:val="nil"/>
      </w:pBdr>
    </w:pPr>
    <w:rPr>
      <w:rFonts w:ascii="Helvetica Neue" w:eastAsia="Arial Unicode MS" w:hAnsi="Helvetica Neue" w:cs="Arial Unicode MS"/>
      <w:b/>
      <w:bCs/>
      <w:color w:val="000000"/>
      <w:u w:color="000000"/>
      <w:bdr w:val="nil"/>
      <w:lang w:val="nl-NL"/>
    </w:rPr>
  </w:style>
  <w:style w:type="paragraph" w:customStyle="1" w:styleId="Styltabeli2">
    <w:name w:val="Styl tabeli 2"/>
    <w:rsid w:val="005A7B82"/>
    <w:pPr>
      <w:pBdr>
        <w:top w:val="nil"/>
        <w:left w:val="nil"/>
        <w:bottom w:val="nil"/>
        <w:right w:val="nil"/>
        <w:between w:val="nil"/>
        <w:bar w:val="nil"/>
      </w:pBdr>
    </w:pPr>
    <w:rPr>
      <w:rFonts w:ascii="Helvetica Neue" w:eastAsia="Arial Unicode MS" w:hAnsi="Helvetica Neue" w:cs="Arial Unicode MS"/>
      <w:color w:val="000000"/>
      <w:u w:color="000000"/>
      <w:bdr w:val="nil"/>
      <w:lang w:val="en-US"/>
    </w:rPr>
  </w:style>
  <w:style w:type="character" w:customStyle="1" w:styleId="article-headerdoilabel">
    <w:name w:val="article-header__doi__label"/>
    <w:basedOn w:val="Domylnaczcionkaakapitu"/>
    <w:rsid w:val="00246B83"/>
  </w:style>
  <w:style w:type="character" w:customStyle="1" w:styleId="name">
    <w:name w:val="name"/>
    <w:basedOn w:val="Domylnaczcionkaakapitu"/>
    <w:rsid w:val="00C31762"/>
  </w:style>
  <w:style w:type="character" w:customStyle="1" w:styleId="affiliation">
    <w:name w:val="affiliation"/>
    <w:basedOn w:val="Domylnaczcionkaakapitu"/>
    <w:rsid w:val="00C31762"/>
  </w:style>
  <w:style w:type="character" w:customStyle="1" w:styleId="orcid">
    <w:name w:val="orcid"/>
    <w:basedOn w:val="Domylnaczcionkaakapitu"/>
    <w:rsid w:val="00C31762"/>
  </w:style>
  <w:style w:type="paragraph" w:styleId="Bibliografia">
    <w:name w:val="Bibliography"/>
    <w:basedOn w:val="Normalny"/>
    <w:next w:val="Normalny"/>
    <w:uiPriority w:val="37"/>
    <w:semiHidden/>
    <w:unhideWhenUsed/>
    <w:rsid w:val="00C4291A"/>
  </w:style>
  <w:style w:type="character" w:customStyle="1" w:styleId="notranslate">
    <w:name w:val="notranslate"/>
    <w:basedOn w:val="Domylnaczcionkaakapitu"/>
    <w:rsid w:val="00C4291A"/>
  </w:style>
  <w:style w:type="character" w:customStyle="1" w:styleId="x193iq5w">
    <w:name w:val="x193iq5w"/>
    <w:basedOn w:val="Domylnaczcionkaakapitu"/>
    <w:rsid w:val="00C4291A"/>
  </w:style>
  <w:style w:type="character" w:customStyle="1" w:styleId="lrzxr">
    <w:name w:val="lrzxr"/>
    <w:basedOn w:val="Domylnaczcionkaakapitu"/>
    <w:rsid w:val="00C4291A"/>
  </w:style>
  <w:style w:type="character" w:customStyle="1" w:styleId="apple-tab-span">
    <w:name w:val="apple-tab-span"/>
    <w:basedOn w:val="Domylnaczcionkaakapitu"/>
    <w:rsid w:val="00852982"/>
  </w:style>
  <w:style w:type="paragraph" w:customStyle="1" w:styleId="Default">
    <w:name w:val="Default"/>
    <w:rsid w:val="003E2291"/>
    <w:pPr>
      <w:autoSpaceDE w:val="0"/>
      <w:autoSpaceDN w:val="0"/>
      <w:adjustRightInd w:val="0"/>
    </w:pPr>
    <w:rPr>
      <w:rFonts w:eastAsiaTheme="minorHAnsi"/>
      <w:color w:val="000000"/>
      <w:sz w:val="24"/>
      <w:szCs w:val="24"/>
      <w:lang w:eastAsia="en-US"/>
      <w14:ligatures w14:val="standardContextual"/>
    </w:rPr>
  </w:style>
  <w:style w:type="numbering" w:customStyle="1" w:styleId="Zaimportowanystyl1">
    <w:name w:val="Zaimportowany styl 1"/>
    <w:rsid w:val="008677D5"/>
    <w:pPr>
      <w:numPr>
        <w:numId w:val="29"/>
      </w:numPr>
    </w:pPr>
  </w:style>
  <w:style w:type="numbering" w:customStyle="1" w:styleId="Zaimportowanystyl2">
    <w:name w:val="Zaimportowany styl 2"/>
    <w:rsid w:val="008677D5"/>
    <w:pPr>
      <w:numPr>
        <w:numId w:val="31"/>
      </w:numPr>
    </w:pPr>
  </w:style>
  <w:style w:type="character" w:customStyle="1" w:styleId="Hyperlink2">
    <w:name w:val="Hyperlink.2"/>
    <w:basedOn w:val="Brak"/>
    <w:rsid w:val="008677D5"/>
    <w:rPr>
      <w:outline w:val="0"/>
      <w:color w:val="111111"/>
      <w:u w:color="111111"/>
    </w:rPr>
  </w:style>
  <w:style w:type="paragraph" w:customStyle="1" w:styleId="Zawartotabeli">
    <w:name w:val="Zawartość tabeli"/>
    <w:basedOn w:val="Normalny"/>
    <w:qFormat/>
    <w:rsid w:val="00742975"/>
    <w:pPr>
      <w:widowControl w:val="0"/>
      <w:suppressLineNumbers/>
      <w:suppressAutoHyphens/>
    </w:pPr>
    <w:rPr>
      <w:rFonts w:ascii="Liberation Serif" w:eastAsia="NSimSun" w:hAnsi="Liberation Serif" w:cs="Arial"/>
      <w:kern w:val="2"/>
      <w:lang w:eastAsia="zh-CN" w:bidi="hi-IN"/>
    </w:rPr>
  </w:style>
  <w:style w:type="character" w:customStyle="1" w:styleId="ListLabel19">
    <w:name w:val="ListLabel 19"/>
    <w:qFormat/>
    <w:rsid w:val="00193226"/>
    <w:rPr>
      <w:color w:val="2F2F2F"/>
      <w:spacing w:val="-2"/>
    </w:rPr>
  </w:style>
  <w:style w:type="character" w:customStyle="1" w:styleId="InternetLink">
    <w:name w:val="Internet Link"/>
    <w:rsid w:val="00193226"/>
    <w:rPr>
      <w:color w:val="000080"/>
      <w:u w:val="single"/>
    </w:rPr>
  </w:style>
  <w:style w:type="character" w:customStyle="1" w:styleId="ListLabel20">
    <w:name w:val="ListLabel 20"/>
    <w:qFormat/>
    <w:rsid w:val="00193226"/>
    <w:rPr>
      <w:color w:val="00007F"/>
      <w:spacing w:val="-2"/>
      <w:u w:val="single" w:color="00007F"/>
    </w:rPr>
  </w:style>
  <w:style w:type="character" w:customStyle="1" w:styleId="word">
    <w:name w:val="word"/>
    <w:basedOn w:val="Domylnaczcionkaakapitu"/>
    <w:rsid w:val="00C54F59"/>
  </w:style>
  <w:style w:type="paragraph" w:customStyle="1" w:styleId="c-article-referencestext">
    <w:name w:val="c-article-references__text"/>
    <w:basedOn w:val="Normalny"/>
    <w:rsid w:val="002A0021"/>
    <w:pPr>
      <w:spacing w:before="100" w:beforeAutospacing="1" w:after="100" w:afterAutospacing="1"/>
    </w:pPr>
  </w:style>
  <w:style w:type="paragraph" w:customStyle="1" w:styleId="c-article-referenceslinks">
    <w:name w:val="c-article-references__links"/>
    <w:basedOn w:val="Normalny"/>
    <w:rsid w:val="002A0021"/>
    <w:pPr>
      <w:spacing w:before="100" w:beforeAutospacing="1" w:after="100" w:afterAutospacing="1"/>
    </w:pPr>
  </w:style>
  <w:style w:type="character" w:customStyle="1" w:styleId="Podtytu1">
    <w:name w:val="Podtytuł1"/>
    <w:basedOn w:val="Domylnaczcionkaakapitu"/>
    <w:rsid w:val="00C37F70"/>
  </w:style>
  <w:style w:type="character" w:customStyle="1" w:styleId="colon-for-citation-subtitle">
    <w:name w:val="colon-for-citation-subtitle"/>
    <w:basedOn w:val="Domylnaczcionkaakapitu"/>
    <w:rsid w:val="00C37F70"/>
  </w:style>
  <w:style w:type="character" w:customStyle="1" w:styleId="html-italic">
    <w:name w:val="html-italic"/>
    <w:basedOn w:val="Domylnaczcionkaakapitu"/>
    <w:rsid w:val="00C37F70"/>
  </w:style>
  <w:style w:type="character" w:customStyle="1" w:styleId="hgkelc">
    <w:name w:val="hgkelc"/>
    <w:basedOn w:val="Domylnaczcionkaakapitu"/>
    <w:rsid w:val="00C37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35047">
      <w:bodyDiv w:val="1"/>
      <w:marLeft w:val="0"/>
      <w:marRight w:val="0"/>
      <w:marTop w:val="0"/>
      <w:marBottom w:val="0"/>
      <w:divBdr>
        <w:top w:val="none" w:sz="0" w:space="0" w:color="auto"/>
        <w:left w:val="none" w:sz="0" w:space="0" w:color="auto"/>
        <w:bottom w:val="none" w:sz="0" w:space="0" w:color="auto"/>
        <w:right w:val="none" w:sz="0" w:space="0" w:color="auto"/>
      </w:divBdr>
    </w:div>
    <w:div w:id="401685493">
      <w:bodyDiv w:val="1"/>
      <w:marLeft w:val="0"/>
      <w:marRight w:val="0"/>
      <w:marTop w:val="0"/>
      <w:marBottom w:val="0"/>
      <w:divBdr>
        <w:top w:val="none" w:sz="0" w:space="0" w:color="auto"/>
        <w:left w:val="none" w:sz="0" w:space="0" w:color="auto"/>
        <w:bottom w:val="none" w:sz="0" w:space="0" w:color="auto"/>
        <w:right w:val="none" w:sz="0" w:space="0" w:color="auto"/>
      </w:divBdr>
    </w:div>
    <w:div w:id="812404351">
      <w:bodyDiv w:val="1"/>
      <w:marLeft w:val="0"/>
      <w:marRight w:val="0"/>
      <w:marTop w:val="0"/>
      <w:marBottom w:val="0"/>
      <w:divBdr>
        <w:top w:val="none" w:sz="0" w:space="0" w:color="auto"/>
        <w:left w:val="none" w:sz="0" w:space="0" w:color="auto"/>
        <w:bottom w:val="none" w:sz="0" w:space="0" w:color="auto"/>
        <w:right w:val="none" w:sz="0" w:space="0" w:color="auto"/>
      </w:divBdr>
      <w:divsChild>
        <w:div w:id="1476684137">
          <w:marLeft w:val="640"/>
          <w:marRight w:val="0"/>
          <w:marTop w:val="0"/>
          <w:marBottom w:val="0"/>
          <w:divBdr>
            <w:top w:val="none" w:sz="0" w:space="0" w:color="auto"/>
            <w:left w:val="none" w:sz="0" w:space="0" w:color="auto"/>
            <w:bottom w:val="none" w:sz="0" w:space="0" w:color="auto"/>
            <w:right w:val="none" w:sz="0" w:space="0" w:color="auto"/>
          </w:divBdr>
        </w:div>
        <w:div w:id="140928952">
          <w:marLeft w:val="640"/>
          <w:marRight w:val="0"/>
          <w:marTop w:val="0"/>
          <w:marBottom w:val="0"/>
          <w:divBdr>
            <w:top w:val="none" w:sz="0" w:space="0" w:color="auto"/>
            <w:left w:val="none" w:sz="0" w:space="0" w:color="auto"/>
            <w:bottom w:val="none" w:sz="0" w:space="0" w:color="auto"/>
            <w:right w:val="none" w:sz="0" w:space="0" w:color="auto"/>
          </w:divBdr>
        </w:div>
        <w:div w:id="328294371">
          <w:marLeft w:val="640"/>
          <w:marRight w:val="0"/>
          <w:marTop w:val="0"/>
          <w:marBottom w:val="0"/>
          <w:divBdr>
            <w:top w:val="none" w:sz="0" w:space="0" w:color="auto"/>
            <w:left w:val="none" w:sz="0" w:space="0" w:color="auto"/>
            <w:bottom w:val="none" w:sz="0" w:space="0" w:color="auto"/>
            <w:right w:val="none" w:sz="0" w:space="0" w:color="auto"/>
          </w:divBdr>
        </w:div>
        <w:div w:id="925650838">
          <w:marLeft w:val="640"/>
          <w:marRight w:val="0"/>
          <w:marTop w:val="0"/>
          <w:marBottom w:val="0"/>
          <w:divBdr>
            <w:top w:val="none" w:sz="0" w:space="0" w:color="auto"/>
            <w:left w:val="none" w:sz="0" w:space="0" w:color="auto"/>
            <w:bottom w:val="none" w:sz="0" w:space="0" w:color="auto"/>
            <w:right w:val="none" w:sz="0" w:space="0" w:color="auto"/>
          </w:divBdr>
        </w:div>
        <w:div w:id="1242904959">
          <w:marLeft w:val="640"/>
          <w:marRight w:val="0"/>
          <w:marTop w:val="0"/>
          <w:marBottom w:val="0"/>
          <w:divBdr>
            <w:top w:val="none" w:sz="0" w:space="0" w:color="auto"/>
            <w:left w:val="none" w:sz="0" w:space="0" w:color="auto"/>
            <w:bottom w:val="none" w:sz="0" w:space="0" w:color="auto"/>
            <w:right w:val="none" w:sz="0" w:space="0" w:color="auto"/>
          </w:divBdr>
        </w:div>
        <w:div w:id="1668821444">
          <w:marLeft w:val="640"/>
          <w:marRight w:val="0"/>
          <w:marTop w:val="0"/>
          <w:marBottom w:val="0"/>
          <w:divBdr>
            <w:top w:val="none" w:sz="0" w:space="0" w:color="auto"/>
            <w:left w:val="none" w:sz="0" w:space="0" w:color="auto"/>
            <w:bottom w:val="none" w:sz="0" w:space="0" w:color="auto"/>
            <w:right w:val="none" w:sz="0" w:space="0" w:color="auto"/>
          </w:divBdr>
        </w:div>
        <w:div w:id="1075276642">
          <w:marLeft w:val="640"/>
          <w:marRight w:val="0"/>
          <w:marTop w:val="0"/>
          <w:marBottom w:val="0"/>
          <w:divBdr>
            <w:top w:val="none" w:sz="0" w:space="0" w:color="auto"/>
            <w:left w:val="none" w:sz="0" w:space="0" w:color="auto"/>
            <w:bottom w:val="none" w:sz="0" w:space="0" w:color="auto"/>
            <w:right w:val="none" w:sz="0" w:space="0" w:color="auto"/>
          </w:divBdr>
        </w:div>
        <w:div w:id="692078084">
          <w:marLeft w:val="640"/>
          <w:marRight w:val="0"/>
          <w:marTop w:val="0"/>
          <w:marBottom w:val="0"/>
          <w:divBdr>
            <w:top w:val="none" w:sz="0" w:space="0" w:color="auto"/>
            <w:left w:val="none" w:sz="0" w:space="0" w:color="auto"/>
            <w:bottom w:val="none" w:sz="0" w:space="0" w:color="auto"/>
            <w:right w:val="none" w:sz="0" w:space="0" w:color="auto"/>
          </w:divBdr>
        </w:div>
        <w:div w:id="764837703">
          <w:marLeft w:val="640"/>
          <w:marRight w:val="0"/>
          <w:marTop w:val="0"/>
          <w:marBottom w:val="0"/>
          <w:divBdr>
            <w:top w:val="none" w:sz="0" w:space="0" w:color="auto"/>
            <w:left w:val="none" w:sz="0" w:space="0" w:color="auto"/>
            <w:bottom w:val="none" w:sz="0" w:space="0" w:color="auto"/>
            <w:right w:val="none" w:sz="0" w:space="0" w:color="auto"/>
          </w:divBdr>
        </w:div>
        <w:div w:id="1857883808">
          <w:marLeft w:val="640"/>
          <w:marRight w:val="0"/>
          <w:marTop w:val="0"/>
          <w:marBottom w:val="0"/>
          <w:divBdr>
            <w:top w:val="none" w:sz="0" w:space="0" w:color="auto"/>
            <w:left w:val="none" w:sz="0" w:space="0" w:color="auto"/>
            <w:bottom w:val="none" w:sz="0" w:space="0" w:color="auto"/>
            <w:right w:val="none" w:sz="0" w:space="0" w:color="auto"/>
          </w:divBdr>
        </w:div>
        <w:div w:id="754323743">
          <w:marLeft w:val="640"/>
          <w:marRight w:val="0"/>
          <w:marTop w:val="0"/>
          <w:marBottom w:val="0"/>
          <w:divBdr>
            <w:top w:val="none" w:sz="0" w:space="0" w:color="auto"/>
            <w:left w:val="none" w:sz="0" w:space="0" w:color="auto"/>
            <w:bottom w:val="none" w:sz="0" w:space="0" w:color="auto"/>
            <w:right w:val="none" w:sz="0" w:space="0" w:color="auto"/>
          </w:divBdr>
        </w:div>
        <w:div w:id="1860730292">
          <w:marLeft w:val="640"/>
          <w:marRight w:val="0"/>
          <w:marTop w:val="0"/>
          <w:marBottom w:val="0"/>
          <w:divBdr>
            <w:top w:val="none" w:sz="0" w:space="0" w:color="auto"/>
            <w:left w:val="none" w:sz="0" w:space="0" w:color="auto"/>
            <w:bottom w:val="none" w:sz="0" w:space="0" w:color="auto"/>
            <w:right w:val="none" w:sz="0" w:space="0" w:color="auto"/>
          </w:divBdr>
        </w:div>
        <w:div w:id="497889920">
          <w:marLeft w:val="640"/>
          <w:marRight w:val="0"/>
          <w:marTop w:val="0"/>
          <w:marBottom w:val="0"/>
          <w:divBdr>
            <w:top w:val="none" w:sz="0" w:space="0" w:color="auto"/>
            <w:left w:val="none" w:sz="0" w:space="0" w:color="auto"/>
            <w:bottom w:val="none" w:sz="0" w:space="0" w:color="auto"/>
            <w:right w:val="none" w:sz="0" w:space="0" w:color="auto"/>
          </w:divBdr>
        </w:div>
        <w:div w:id="2059551663">
          <w:marLeft w:val="640"/>
          <w:marRight w:val="0"/>
          <w:marTop w:val="0"/>
          <w:marBottom w:val="0"/>
          <w:divBdr>
            <w:top w:val="none" w:sz="0" w:space="0" w:color="auto"/>
            <w:left w:val="none" w:sz="0" w:space="0" w:color="auto"/>
            <w:bottom w:val="none" w:sz="0" w:space="0" w:color="auto"/>
            <w:right w:val="none" w:sz="0" w:space="0" w:color="auto"/>
          </w:divBdr>
        </w:div>
        <w:div w:id="867068019">
          <w:marLeft w:val="640"/>
          <w:marRight w:val="0"/>
          <w:marTop w:val="0"/>
          <w:marBottom w:val="0"/>
          <w:divBdr>
            <w:top w:val="none" w:sz="0" w:space="0" w:color="auto"/>
            <w:left w:val="none" w:sz="0" w:space="0" w:color="auto"/>
            <w:bottom w:val="none" w:sz="0" w:space="0" w:color="auto"/>
            <w:right w:val="none" w:sz="0" w:space="0" w:color="auto"/>
          </w:divBdr>
        </w:div>
        <w:div w:id="554238574">
          <w:marLeft w:val="640"/>
          <w:marRight w:val="0"/>
          <w:marTop w:val="0"/>
          <w:marBottom w:val="0"/>
          <w:divBdr>
            <w:top w:val="none" w:sz="0" w:space="0" w:color="auto"/>
            <w:left w:val="none" w:sz="0" w:space="0" w:color="auto"/>
            <w:bottom w:val="none" w:sz="0" w:space="0" w:color="auto"/>
            <w:right w:val="none" w:sz="0" w:space="0" w:color="auto"/>
          </w:divBdr>
        </w:div>
        <w:div w:id="815806567">
          <w:marLeft w:val="640"/>
          <w:marRight w:val="0"/>
          <w:marTop w:val="0"/>
          <w:marBottom w:val="0"/>
          <w:divBdr>
            <w:top w:val="none" w:sz="0" w:space="0" w:color="auto"/>
            <w:left w:val="none" w:sz="0" w:space="0" w:color="auto"/>
            <w:bottom w:val="none" w:sz="0" w:space="0" w:color="auto"/>
            <w:right w:val="none" w:sz="0" w:space="0" w:color="auto"/>
          </w:divBdr>
        </w:div>
        <w:div w:id="1513837637">
          <w:marLeft w:val="640"/>
          <w:marRight w:val="0"/>
          <w:marTop w:val="0"/>
          <w:marBottom w:val="0"/>
          <w:divBdr>
            <w:top w:val="none" w:sz="0" w:space="0" w:color="auto"/>
            <w:left w:val="none" w:sz="0" w:space="0" w:color="auto"/>
            <w:bottom w:val="none" w:sz="0" w:space="0" w:color="auto"/>
            <w:right w:val="none" w:sz="0" w:space="0" w:color="auto"/>
          </w:divBdr>
        </w:div>
        <w:div w:id="2118064814">
          <w:marLeft w:val="640"/>
          <w:marRight w:val="0"/>
          <w:marTop w:val="0"/>
          <w:marBottom w:val="0"/>
          <w:divBdr>
            <w:top w:val="none" w:sz="0" w:space="0" w:color="auto"/>
            <w:left w:val="none" w:sz="0" w:space="0" w:color="auto"/>
            <w:bottom w:val="none" w:sz="0" w:space="0" w:color="auto"/>
            <w:right w:val="none" w:sz="0" w:space="0" w:color="auto"/>
          </w:divBdr>
        </w:div>
        <w:div w:id="489059157">
          <w:marLeft w:val="640"/>
          <w:marRight w:val="0"/>
          <w:marTop w:val="0"/>
          <w:marBottom w:val="0"/>
          <w:divBdr>
            <w:top w:val="none" w:sz="0" w:space="0" w:color="auto"/>
            <w:left w:val="none" w:sz="0" w:space="0" w:color="auto"/>
            <w:bottom w:val="none" w:sz="0" w:space="0" w:color="auto"/>
            <w:right w:val="none" w:sz="0" w:space="0" w:color="auto"/>
          </w:divBdr>
        </w:div>
        <w:div w:id="457727014">
          <w:marLeft w:val="640"/>
          <w:marRight w:val="0"/>
          <w:marTop w:val="0"/>
          <w:marBottom w:val="0"/>
          <w:divBdr>
            <w:top w:val="none" w:sz="0" w:space="0" w:color="auto"/>
            <w:left w:val="none" w:sz="0" w:space="0" w:color="auto"/>
            <w:bottom w:val="none" w:sz="0" w:space="0" w:color="auto"/>
            <w:right w:val="none" w:sz="0" w:space="0" w:color="auto"/>
          </w:divBdr>
        </w:div>
        <w:div w:id="1369379661">
          <w:marLeft w:val="640"/>
          <w:marRight w:val="0"/>
          <w:marTop w:val="0"/>
          <w:marBottom w:val="0"/>
          <w:divBdr>
            <w:top w:val="none" w:sz="0" w:space="0" w:color="auto"/>
            <w:left w:val="none" w:sz="0" w:space="0" w:color="auto"/>
            <w:bottom w:val="none" w:sz="0" w:space="0" w:color="auto"/>
            <w:right w:val="none" w:sz="0" w:space="0" w:color="auto"/>
          </w:divBdr>
        </w:div>
        <w:div w:id="1822189608">
          <w:marLeft w:val="640"/>
          <w:marRight w:val="0"/>
          <w:marTop w:val="0"/>
          <w:marBottom w:val="0"/>
          <w:divBdr>
            <w:top w:val="none" w:sz="0" w:space="0" w:color="auto"/>
            <w:left w:val="none" w:sz="0" w:space="0" w:color="auto"/>
            <w:bottom w:val="none" w:sz="0" w:space="0" w:color="auto"/>
            <w:right w:val="none" w:sz="0" w:space="0" w:color="auto"/>
          </w:divBdr>
        </w:div>
        <w:div w:id="1967277939">
          <w:marLeft w:val="640"/>
          <w:marRight w:val="0"/>
          <w:marTop w:val="0"/>
          <w:marBottom w:val="0"/>
          <w:divBdr>
            <w:top w:val="none" w:sz="0" w:space="0" w:color="auto"/>
            <w:left w:val="none" w:sz="0" w:space="0" w:color="auto"/>
            <w:bottom w:val="none" w:sz="0" w:space="0" w:color="auto"/>
            <w:right w:val="none" w:sz="0" w:space="0" w:color="auto"/>
          </w:divBdr>
        </w:div>
        <w:div w:id="446004384">
          <w:marLeft w:val="640"/>
          <w:marRight w:val="0"/>
          <w:marTop w:val="0"/>
          <w:marBottom w:val="0"/>
          <w:divBdr>
            <w:top w:val="none" w:sz="0" w:space="0" w:color="auto"/>
            <w:left w:val="none" w:sz="0" w:space="0" w:color="auto"/>
            <w:bottom w:val="none" w:sz="0" w:space="0" w:color="auto"/>
            <w:right w:val="none" w:sz="0" w:space="0" w:color="auto"/>
          </w:divBdr>
        </w:div>
        <w:div w:id="620503431">
          <w:marLeft w:val="640"/>
          <w:marRight w:val="0"/>
          <w:marTop w:val="0"/>
          <w:marBottom w:val="0"/>
          <w:divBdr>
            <w:top w:val="none" w:sz="0" w:space="0" w:color="auto"/>
            <w:left w:val="none" w:sz="0" w:space="0" w:color="auto"/>
            <w:bottom w:val="none" w:sz="0" w:space="0" w:color="auto"/>
            <w:right w:val="none" w:sz="0" w:space="0" w:color="auto"/>
          </w:divBdr>
        </w:div>
        <w:div w:id="1012027072">
          <w:marLeft w:val="640"/>
          <w:marRight w:val="0"/>
          <w:marTop w:val="0"/>
          <w:marBottom w:val="0"/>
          <w:divBdr>
            <w:top w:val="none" w:sz="0" w:space="0" w:color="auto"/>
            <w:left w:val="none" w:sz="0" w:space="0" w:color="auto"/>
            <w:bottom w:val="none" w:sz="0" w:space="0" w:color="auto"/>
            <w:right w:val="none" w:sz="0" w:space="0" w:color="auto"/>
          </w:divBdr>
        </w:div>
        <w:div w:id="722993292">
          <w:marLeft w:val="640"/>
          <w:marRight w:val="0"/>
          <w:marTop w:val="0"/>
          <w:marBottom w:val="0"/>
          <w:divBdr>
            <w:top w:val="none" w:sz="0" w:space="0" w:color="auto"/>
            <w:left w:val="none" w:sz="0" w:space="0" w:color="auto"/>
            <w:bottom w:val="none" w:sz="0" w:space="0" w:color="auto"/>
            <w:right w:val="none" w:sz="0" w:space="0" w:color="auto"/>
          </w:divBdr>
        </w:div>
        <w:div w:id="358776017">
          <w:marLeft w:val="640"/>
          <w:marRight w:val="0"/>
          <w:marTop w:val="0"/>
          <w:marBottom w:val="0"/>
          <w:divBdr>
            <w:top w:val="none" w:sz="0" w:space="0" w:color="auto"/>
            <w:left w:val="none" w:sz="0" w:space="0" w:color="auto"/>
            <w:bottom w:val="none" w:sz="0" w:space="0" w:color="auto"/>
            <w:right w:val="none" w:sz="0" w:space="0" w:color="auto"/>
          </w:divBdr>
        </w:div>
        <w:div w:id="26955515">
          <w:marLeft w:val="640"/>
          <w:marRight w:val="0"/>
          <w:marTop w:val="0"/>
          <w:marBottom w:val="0"/>
          <w:divBdr>
            <w:top w:val="none" w:sz="0" w:space="0" w:color="auto"/>
            <w:left w:val="none" w:sz="0" w:space="0" w:color="auto"/>
            <w:bottom w:val="none" w:sz="0" w:space="0" w:color="auto"/>
            <w:right w:val="none" w:sz="0" w:space="0" w:color="auto"/>
          </w:divBdr>
        </w:div>
        <w:div w:id="264003054">
          <w:marLeft w:val="640"/>
          <w:marRight w:val="0"/>
          <w:marTop w:val="0"/>
          <w:marBottom w:val="0"/>
          <w:divBdr>
            <w:top w:val="none" w:sz="0" w:space="0" w:color="auto"/>
            <w:left w:val="none" w:sz="0" w:space="0" w:color="auto"/>
            <w:bottom w:val="none" w:sz="0" w:space="0" w:color="auto"/>
            <w:right w:val="none" w:sz="0" w:space="0" w:color="auto"/>
          </w:divBdr>
        </w:div>
        <w:div w:id="661469542">
          <w:marLeft w:val="640"/>
          <w:marRight w:val="0"/>
          <w:marTop w:val="0"/>
          <w:marBottom w:val="0"/>
          <w:divBdr>
            <w:top w:val="none" w:sz="0" w:space="0" w:color="auto"/>
            <w:left w:val="none" w:sz="0" w:space="0" w:color="auto"/>
            <w:bottom w:val="none" w:sz="0" w:space="0" w:color="auto"/>
            <w:right w:val="none" w:sz="0" w:space="0" w:color="auto"/>
          </w:divBdr>
        </w:div>
        <w:div w:id="663318697">
          <w:marLeft w:val="640"/>
          <w:marRight w:val="0"/>
          <w:marTop w:val="0"/>
          <w:marBottom w:val="0"/>
          <w:divBdr>
            <w:top w:val="none" w:sz="0" w:space="0" w:color="auto"/>
            <w:left w:val="none" w:sz="0" w:space="0" w:color="auto"/>
            <w:bottom w:val="none" w:sz="0" w:space="0" w:color="auto"/>
            <w:right w:val="none" w:sz="0" w:space="0" w:color="auto"/>
          </w:divBdr>
        </w:div>
      </w:divsChild>
    </w:div>
    <w:div w:id="856962183">
      <w:bodyDiv w:val="1"/>
      <w:marLeft w:val="0"/>
      <w:marRight w:val="0"/>
      <w:marTop w:val="0"/>
      <w:marBottom w:val="0"/>
      <w:divBdr>
        <w:top w:val="none" w:sz="0" w:space="0" w:color="auto"/>
        <w:left w:val="none" w:sz="0" w:space="0" w:color="auto"/>
        <w:bottom w:val="none" w:sz="0" w:space="0" w:color="auto"/>
        <w:right w:val="none" w:sz="0" w:space="0" w:color="auto"/>
      </w:divBdr>
    </w:div>
    <w:div w:id="953444901">
      <w:bodyDiv w:val="1"/>
      <w:marLeft w:val="0"/>
      <w:marRight w:val="0"/>
      <w:marTop w:val="0"/>
      <w:marBottom w:val="0"/>
      <w:divBdr>
        <w:top w:val="none" w:sz="0" w:space="0" w:color="auto"/>
        <w:left w:val="none" w:sz="0" w:space="0" w:color="auto"/>
        <w:bottom w:val="none" w:sz="0" w:space="0" w:color="auto"/>
        <w:right w:val="none" w:sz="0" w:space="0" w:color="auto"/>
      </w:divBdr>
    </w:div>
    <w:div w:id="1146552834">
      <w:bodyDiv w:val="1"/>
      <w:marLeft w:val="0"/>
      <w:marRight w:val="0"/>
      <w:marTop w:val="0"/>
      <w:marBottom w:val="0"/>
      <w:divBdr>
        <w:top w:val="none" w:sz="0" w:space="0" w:color="auto"/>
        <w:left w:val="none" w:sz="0" w:space="0" w:color="auto"/>
        <w:bottom w:val="none" w:sz="0" w:space="0" w:color="auto"/>
        <w:right w:val="none" w:sz="0" w:space="0" w:color="auto"/>
      </w:divBdr>
    </w:div>
    <w:div w:id="1188444316">
      <w:bodyDiv w:val="1"/>
      <w:marLeft w:val="0"/>
      <w:marRight w:val="0"/>
      <w:marTop w:val="0"/>
      <w:marBottom w:val="0"/>
      <w:divBdr>
        <w:top w:val="none" w:sz="0" w:space="0" w:color="auto"/>
        <w:left w:val="none" w:sz="0" w:space="0" w:color="auto"/>
        <w:bottom w:val="none" w:sz="0" w:space="0" w:color="auto"/>
        <w:right w:val="none" w:sz="0" w:space="0" w:color="auto"/>
      </w:divBdr>
    </w:div>
    <w:div w:id="1616904922">
      <w:bodyDiv w:val="1"/>
      <w:marLeft w:val="0"/>
      <w:marRight w:val="0"/>
      <w:marTop w:val="0"/>
      <w:marBottom w:val="0"/>
      <w:divBdr>
        <w:top w:val="none" w:sz="0" w:space="0" w:color="auto"/>
        <w:left w:val="none" w:sz="0" w:space="0" w:color="auto"/>
        <w:bottom w:val="none" w:sz="0" w:space="0" w:color="auto"/>
        <w:right w:val="none" w:sz="0" w:space="0" w:color="auto"/>
      </w:divBdr>
    </w:div>
    <w:div w:id="1804496388">
      <w:bodyDiv w:val="1"/>
      <w:marLeft w:val="0"/>
      <w:marRight w:val="0"/>
      <w:marTop w:val="0"/>
      <w:marBottom w:val="0"/>
      <w:divBdr>
        <w:top w:val="none" w:sz="0" w:space="0" w:color="auto"/>
        <w:left w:val="none" w:sz="0" w:space="0" w:color="auto"/>
        <w:bottom w:val="none" w:sz="0" w:space="0" w:color="auto"/>
        <w:right w:val="none" w:sz="0" w:space="0" w:color="auto"/>
      </w:divBdr>
    </w:div>
    <w:div w:id="2001618288">
      <w:bodyDiv w:val="1"/>
      <w:marLeft w:val="0"/>
      <w:marRight w:val="0"/>
      <w:marTop w:val="0"/>
      <w:marBottom w:val="0"/>
      <w:divBdr>
        <w:top w:val="none" w:sz="0" w:space="0" w:color="auto"/>
        <w:left w:val="none" w:sz="0" w:space="0" w:color="auto"/>
        <w:bottom w:val="none" w:sz="0" w:space="0" w:color="auto"/>
        <w:right w:val="none" w:sz="0" w:space="0" w:color="auto"/>
      </w:divBdr>
    </w:div>
    <w:div w:id="2092265636">
      <w:bodyDiv w:val="1"/>
      <w:marLeft w:val="0"/>
      <w:marRight w:val="0"/>
      <w:marTop w:val="0"/>
      <w:marBottom w:val="0"/>
      <w:divBdr>
        <w:top w:val="none" w:sz="0" w:space="0" w:color="auto"/>
        <w:left w:val="none" w:sz="0" w:space="0" w:color="auto"/>
        <w:bottom w:val="none" w:sz="0" w:space="0" w:color="auto"/>
        <w:right w:val="none" w:sz="0" w:space="0" w:color="auto"/>
      </w:divBdr>
    </w:div>
    <w:div w:id="2133283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omirska.agata@gmail.com" TargetMode="External"/><Relationship Id="rId18" Type="http://schemas.openxmlformats.org/officeDocument/2006/relationships/chart" Target="charts/chart1.xml"/><Relationship Id="rId26" Type="http://schemas.openxmlformats.org/officeDocument/2006/relationships/hyperlink" Target="https://doi.org/10.1093/ntr/ntac284" TargetMode="External"/><Relationship Id="rId39" Type="http://schemas.openxmlformats.org/officeDocument/2006/relationships/hyperlink" Target="https://doi.org/10.1172/JCI128531" TargetMode="External"/><Relationship Id="rId21" Type="http://schemas.openxmlformats.org/officeDocument/2006/relationships/image" Target="media/image2.png"/><Relationship Id="rId34" Type="http://schemas.openxmlformats.org/officeDocument/2006/relationships/hyperlink" Target="https://doi.org/10.1016/0006-291X(82)91787-9" TargetMode="External"/><Relationship Id="rId42" Type="http://schemas.openxmlformats.org/officeDocument/2006/relationships/hyperlink" Target="http://dx.doi.org/10.15585/mmwr.mm6836e1" TargetMode="External"/><Relationship Id="rId47" Type="http://schemas.openxmlformats.org/officeDocument/2006/relationships/hyperlink" Target="https://doi.org/10.21037/jtd.2020.03.101"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madzia/Downloads/kingaborowiec07@gmail.com" TargetMode="External"/><Relationship Id="rId29" Type="http://schemas.openxmlformats.org/officeDocument/2006/relationships/hyperlink" Target="https://archive.cdc.gov/www_cdc_gov/tobacco/basic_information/e-cigarettes/severe-lung-disease.html" TargetMode="External"/><Relationship Id="rId11" Type="http://schemas.openxmlformats.org/officeDocument/2006/relationships/hyperlink" Target="mailto:biernikiewiczjulia@gmail.com" TargetMode="External"/><Relationship Id="rId24" Type="http://schemas.openxmlformats.org/officeDocument/2006/relationships/hyperlink" Target="https://doi.org/10.1371/journal.pone.0256044" TargetMode="External"/><Relationship Id="rId32" Type="http://schemas.openxmlformats.org/officeDocument/2006/relationships/hyperlink" Target="https://doi.org/10.1016/0166-6622(92)80253-X" TargetMode="External"/><Relationship Id="rId37" Type="http://schemas.openxmlformats.org/officeDocument/2006/relationships/hyperlink" Target="https://doi.org/10.1073/pnas.1920925117" TargetMode="External"/><Relationship Id="rId40" Type="http://schemas.openxmlformats.org/officeDocument/2006/relationships/hyperlink" Target="http://dx.doi.org/10.15585/mmwr.mm6841e3" TargetMode="External"/><Relationship Id="rId45" Type="http://schemas.openxmlformats.org/officeDocument/2006/relationships/hyperlink" Target="https://doi.org/10.1097/ccm.0000000000004093"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mailto:bartosz.pomirski@gmail.com" TargetMode="External"/><Relationship Id="rId19" Type="http://schemas.openxmlformats.org/officeDocument/2006/relationships/chart" Target="charts/chart2.xml"/><Relationship Id="rId31" Type="http://schemas.openxmlformats.org/officeDocument/2006/relationships/hyperlink" Target="https://doi.org/10.1146/annurev.nutr.27.061406.093819" TargetMode="External"/><Relationship Id="rId44" Type="http://schemas.openxmlformats.org/officeDocument/2006/relationships/hyperlink" Target="https://doi.org/10.1016/j.jaci.2020.04.006"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Users/madzia/Downloads/wilewskaanna2000@gmail.com" TargetMode="External"/><Relationship Id="rId14" Type="http://schemas.openxmlformats.org/officeDocument/2006/relationships/hyperlink" Target="mailto:borowiec.agn@gmail.com" TargetMode="External"/><Relationship Id="rId22" Type="http://schemas.openxmlformats.org/officeDocument/2006/relationships/hyperlink" Target="https://worldwide.espacenet.com/publicationDetails/biblio?CC=US&amp;NR=2007267031&amp;KC=&amp;FT=E&amp;locale=en_EP" TargetMode="External"/><Relationship Id="rId27" Type="http://schemas.openxmlformats.org/officeDocument/2006/relationships/hyperlink" Target="http://dx.doi.org/10.15585/mmwr.ss7105a1" TargetMode="External"/><Relationship Id="rId30" Type="http://schemas.openxmlformats.org/officeDocument/2006/relationships/hyperlink" Target="https://anresco.com/contaminant-analysis-of-illicit-vs-regulated-market-extracts/" TargetMode="External"/><Relationship Id="rId35" Type="http://schemas.openxmlformats.org/officeDocument/2006/relationships/hyperlink" Target="https://doi.org/10.1016/j.jemermed.2013.09.034" TargetMode="External"/><Relationship Id="rId43" Type="http://schemas.openxmlformats.org/officeDocument/2006/relationships/hyperlink" Target="https://doi.org/10.1016/S0140-6736(19)32679-0" TargetMode="External"/><Relationship Id="rId48" Type="http://schemas.openxmlformats.org/officeDocument/2006/relationships/hyperlink" Target="https://doi.org/10.1186/s41479-020-00075-2" TargetMode="External"/><Relationship Id="rId8" Type="http://schemas.openxmlformats.org/officeDocument/2006/relationships/hyperlink" Target="mailto:konstanty.alabrudzinski@gmail.com"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milenabiernikiewicz@gmail.com" TargetMode="External"/><Relationship Id="rId17" Type="http://schemas.openxmlformats.org/officeDocument/2006/relationships/hyperlink" Target="file:///Users/madzia/Downloads/dach.aleksandra@icloud.com" TargetMode="External"/><Relationship Id="rId25" Type="http://schemas.openxmlformats.org/officeDocument/2006/relationships/hyperlink" Target="https://doi.org/10.2105/AJPH.2012.300947" TargetMode="External"/><Relationship Id="rId33" Type="http://schemas.openxmlformats.org/officeDocument/2006/relationships/hyperlink" Target="https://doi.org/10.1016/j.bbamem.2012.06.016" TargetMode="External"/><Relationship Id="rId38" Type="http://schemas.openxmlformats.org/officeDocument/2006/relationships/hyperlink" Target="https://doi.org/10.1007/s00109-016-1378-3" TargetMode="External"/><Relationship Id="rId46" Type="http://schemas.openxmlformats.org/officeDocument/2006/relationships/hyperlink" Target="https://doi.org/10.1007/s12281-023-00456-2" TargetMode="External"/><Relationship Id="rId20" Type="http://schemas.openxmlformats.org/officeDocument/2006/relationships/image" Target="media/image1.png"/><Relationship Id="rId41" Type="http://schemas.openxmlformats.org/officeDocument/2006/relationships/hyperlink" Target="https://doi.org/10.1016/j.hrtlng.2021.05.004"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madzia/Downloads/paulinakwasniewska12@gmail.com" TargetMode="External"/><Relationship Id="rId23" Type="http://schemas.openxmlformats.org/officeDocument/2006/relationships/hyperlink" Target="https://www.who.int/publications/i/item/9789240032095" TargetMode="External"/><Relationship Id="rId28" Type="http://schemas.openxmlformats.org/officeDocument/2006/relationships/hyperlink" Target="https://doi.org/10.17269/cjph.105.4119" TargetMode="External"/><Relationship Id="rId36" Type="http://schemas.openxmlformats.org/officeDocument/2006/relationships/hyperlink" Target="https://doi.org/10.1002/rcr2.230" TargetMode="External"/><Relationship Id="rId4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https://apcz.umk.pl/JEHS/article/view/56493" TargetMode="External"/><Relationship Id="rId1" Type="http://schemas.openxmlformats.org/officeDocument/2006/relationships/hyperlink" Target="https://dx.doi.org/10.12775/JEHS.2024.75.5649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Arkusz1!$B$1</c:f>
              <c:strCache>
                <c:ptCount val="1"/>
                <c:pt idx="0">
                  <c:v>Sprzedaż</c:v>
                </c:pt>
              </c:strCache>
            </c:strRef>
          </c:tx>
          <c:dPt>
            <c:idx val="0"/>
            <c:bubble3D val="0"/>
            <c:spPr>
              <a:solidFill>
                <a:schemeClr val="bg1">
                  <a:lumMod val="9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FD6-4574-829D-CCD17716E6F5}"/>
              </c:ext>
            </c:extLst>
          </c:dPt>
          <c:dPt>
            <c:idx val="1"/>
            <c:bubble3D val="0"/>
            <c:spPr>
              <a:solidFill>
                <a:schemeClr val="tx1">
                  <a:lumMod val="65000"/>
                  <a:lumOff val="3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FD6-4574-829D-CCD17716E6F5}"/>
              </c:ext>
            </c:extLst>
          </c:dPt>
          <c:dPt>
            <c:idx val="2"/>
            <c:bubble3D val="0"/>
            <c:spPr>
              <a:solidFill>
                <a:schemeClr val="bg2">
                  <a:lumMod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0FD6-4574-829D-CCD17716E6F5}"/>
              </c:ext>
            </c:extLst>
          </c:dPt>
          <c:dPt>
            <c:idx val="3"/>
            <c:bubble3D val="0"/>
            <c:spPr>
              <a:solidFill>
                <a:schemeClr val="bg2">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0FD6-4574-829D-CCD17716E6F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0FD6-4574-829D-CCD17716E6F5}"/>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3-0FD6-4574-829D-CCD17716E6F5}"/>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5-0FD6-4574-829D-CCD17716E6F5}"/>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7-0FD6-4574-829D-CCD17716E6F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lumMod val="75000"/>
                        <a:lumOff val="2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&lt; 18 y.o.</c:v>
                </c:pt>
                <c:pt idx="1">
                  <c:v>18-24 y.o.</c:v>
                </c:pt>
                <c:pt idx="2">
                  <c:v>25-34 y.o.</c:v>
                </c:pt>
                <c:pt idx="3">
                  <c:v>35 y.o. and older</c:v>
                </c:pt>
              </c:strCache>
            </c:strRef>
          </c:cat>
          <c:val>
            <c:numRef>
              <c:f>Arkusz1!$B$2:$B$5</c:f>
              <c:numCache>
                <c:formatCode>General</c:formatCode>
                <c:ptCount val="4"/>
                <c:pt idx="0">
                  <c:v>15</c:v>
                </c:pt>
                <c:pt idx="1">
                  <c:v>37</c:v>
                </c:pt>
                <c:pt idx="2">
                  <c:v>24</c:v>
                </c:pt>
                <c:pt idx="3">
                  <c:v>24</c:v>
                </c:pt>
              </c:numCache>
            </c:numRef>
          </c:val>
          <c:extLst>
            <c:ext xmlns:c16="http://schemas.microsoft.com/office/drawing/2014/chart" uri="{C3380CC4-5D6E-409C-BE32-E72D297353CC}">
              <c16:uniqueId val="{00000008-0FD6-4574-829D-CCD17716E6F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Arkusz1!$B$1</c:f>
              <c:strCache>
                <c:ptCount val="1"/>
                <c:pt idx="0">
                  <c:v>Users</c:v>
                </c:pt>
              </c:strCache>
            </c:strRef>
          </c:tx>
          <c:spPr>
            <a:solidFill>
              <a:schemeClr val="dk1">
                <a:tint val="88500"/>
              </a:schemeClr>
            </a:solidFill>
            <a:ln>
              <a:noFill/>
            </a:ln>
            <a:effectLst/>
          </c:spPr>
          <c:invertIfNegative val="0"/>
          <c:dLbls>
            <c:dLbl>
              <c:idx val="0"/>
              <c:tx>
                <c:rich>
                  <a:bodyPr/>
                  <a:lstStyle/>
                  <a:p>
                    <a:r>
                      <a:rPr lang="en-US"/>
                      <a:t>82%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7D3-4F7E-8956-1A244878D737}"/>
                </c:ext>
              </c:extLst>
            </c:dLbl>
            <c:dLbl>
              <c:idx val="1"/>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7D3-4F7E-8956-1A244878D737}"/>
                </c:ext>
              </c:extLst>
            </c:dLbl>
            <c:numFmt formatCode="#,##0" sourceLinked="0"/>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Arkusz1!$A$2:$A$3</c:f>
              <c:strCache>
                <c:ptCount val="2"/>
                <c:pt idx="0">
                  <c:v>THC</c:v>
                </c:pt>
                <c:pt idx="1">
                  <c:v>Nicotine</c:v>
                </c:pt>
              </c:strCache>
            </c:strRef>
          </c:cat>
          <c:val>
            <c:numRef>
              <c:f>Arkusz1!$B$2:$B$3</c:f>
              <c:numCache>
                <c:formatCode>General</c:formatCode>
                <c:ptCount val="2"/>
                <c:pt idx="0">
                  <c:v>82</c:v>
                </c:pt>
                <c:pt idx="1">
                  <c:v>57</c:v>
                </c:pt>
              </c:numCache>
            </c:numRef>
          </c:val>
          <c:extLst>
            <c:ext xmlns:c16="http://schemas.microsoft.com/office/drawing/2014/chart" uri="{C3380CC4-5D6E-409C-BE32-E72D297353CC}">
              <c16:uniqueId val="{00000002-47D3-4F7E-8956-1A244878D737}"/>
            </c:ext>
          </c:extLst>
        </c:ser>
        <c:ser>
          <c:idx val="1"/>
          <c:order val="1"/>
          <c:tx>
            <c:strRef>
              <c:f>Arkusz1!$C$1</c:f>
              <c:strCache>
                <c:ptCount val="1"/>
                <c:pt idx="0">
                  <c:v>Exclusive users</c:v>
                </c:pt>
              </c:strCache>
            </c:strRef>
          </c:tx>
          <c:spPr>
            <a:solidFill>
              <a:schemeClr val="dk1">
                <a:tint val="55000"/>
              </a:schemeClr>
            </a:solidFill>
            <a:ln>
              <a:noFill/>
            </a:ln>
            <a:effectLst/>
          </c:spPr>
          <c:invertIfNegative val="0"/>
          <c:dLbls>
            <c:dLbl>
              <c:idx val="0"/>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7D3-4F7E-8956-1A244878D737}"/>
                </c:ext>
              </c:extLst>
            </c:dLbl>
            <c:dLbl>
              <c:idx val="1"/>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7D3-4F7E-8956-1A244878D737}"/>
                </c:ext>
              </c:extLst>
            </c:dLbl>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Arkusz1!$A$2:$A$3</c:f>
              <c:strCache>
                <c:ptCount val="2"/>
                <c:pt idx="0">
                  <c:v>THC</c:v>
                </c:pt>
                <c:pt idx="1">
                  <c:v>Nicotine</c:v>
                </c:pt>
              </c:strCache>
            </c:strRef>
          </c:cat>
          <c:val>
            <c:numRef>
              <c:f>Arkusz1!$C$2:$C$3</c:f>
              <c:numCache>
                <c:formatCode>General</c:formatCode>
                <c:ptCount val="2"/>
                <c:pt idx="0">
                  <c:v>33</c:v>
                </c:pt>
                <c:pt idx="1">
                  <c:v>14</c:v>
                </c:pt>
              </c:numCache>
            </c:numRef>
          </c:val>
          <c:extLst>
            <c:ext xmlns:c16="http://schemas.microsoft.com/office/drawing/2014/chart" uri="{C3380CC4-5D6E-409C-BE32-E72D297353CC}">
              <c16:uniqueId val="{00000005-47D3-4F7E-8956-1A244878D737}"/>
            </c:ext>
          </c:extLst>
        </c:ser>
        <c:dLbls>
          <c:dLblPos val="outEnd"/>
          <c:showLegendKey val="0"/>
          <c:showVal val="1"/>
          <c:showCatName val="0"/>
          <c:showSerName val="0"/>
          <c:showPercent val="0"/>
          <c:showBubbleSize val="0"/>
        </c:dLbls>
        <c:gapWidth val="444"/>
        <c:overlap val="-90"/>
        <c:axId val="1615067327"/>
        <c:axId val="1615064447"/>
      </c:barChart>
      <c:catAx>
        <c:axId val="16150673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Calibri (Tekst podstawowy)"/>
                <a:ea typeface="+mn-ea"/>
                <a:cs typeface="+mn-cs"/>
              </a:defRPr>
            </a:pPr>
            <a:endParaRPr lang="pl-PL"/>
          </a:p>
        </c:txPr>
        <c:crossAx val="1615064447"/>
        <c:crosses val="autoZero"/>
        <c:auto val="1"/>
        <c:lblAlgn val="ctr"/>
        <c:lblOffset val="100"/>
        <c:noMultiLvlLbl val="0"/>
      </c:catAx>
      <c:valAx>
        <c:axId val="1615064447"/>
        <c:scaling>
          <c:orientation val="minMax"/>
        </c:scaling>
        <c:delete val="1"/>
        <c:axPos val="l"/>
        <c:numFmt formatCode="General" sourceLinked="1"/>
        <c:majorTickMark val="none"/>
        <c:minorTickMark val="none"/>
        <c:tickLblPos val="nextTo"/>
        <c:crossAx val="161506732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solidFill>
          <a:srgbClr val="FFFFFF"/>
        </a:solidFill>
        <a:ln w="12700">
          <a:solidFill>
            <a:srgbClr val="000000"/>
          </a:solidFill>
        </a:ln>
      </a:spPr>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26B5D-8931-4B17-935D-F9A3E000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4657</Words>
  <Characters>27946</Characters>
  <Application>Microsoft Office Word</Application>
  <DocSecurity>0</DocSecurity>
  <Lines>232</Lines>
  <Paragraphs>65</Paragraphs>
  <ScaleCrop>false</ScaleCrop>
  <HeadingPairs>
    <vt:vector size="2" baseType="variant">
      <vt:variant>
        <vt:lpstr>Tytuł</vt:lpstr>
      </vt:variant>
      <vt:variant>
        <vt:i4>1</vt:i4>
      </vt:variant>
    </vt:vector>
  </HeadingPairs>
  <TitlesOfParts>
    <vt:vector size="1" baseType="lpstr">
      <vt:lpstr>The impact of chemotherapy dose adjustment and delay in leukemias and lymphomas</vt:lpstr>
    </vt:vector>
  </TitlesOfParts>
  <Company/>
  <LinksUpToDate>false</LinksUpToDate>
  <CharactersWithSpaces>32538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chemotherapy dose adjustment and delay in leukemias and lymphomas</dc:title>
  <dc:creator>Michal</dc:creator>
  <cp:lastModifiedBy>Magdalena Połchowska</cp:lastModifiedBy>
  <cp:revision>3</cp:revision>
  <cp:lastPrinted>2024-12-20T11:19:00Z</cp:lastPrinted>
  <dcterms:created xsi:type="dcterms:W3CDTF">2024-12-20T11:30:00Z</dcterms:created>
  <dcterms:modified xsi:type="dcterms:W3CDTF">2024-12-20T11:33:00Z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1045-12.2.0.17119</vt:lpwstr>
  </property>
  <property fmtid="{D5CDD505-2E9C-101B-9397-08002B2CF9AE}" pid="3" name="ICV">
    <vt:lpwstr>DDDCD71D6C3F4332967F0669661F1701_13</vt:lpwstr>
  </property>
</Properties>
</file>